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9B" w:rsidRPr="00626D9B" w:rsidRDefault="00626D9B" w:rsidP="00626D9B">
      <w:pPr>
        <w:spacing w:after="0" w:line="240" w:lineRule="auto"/>
        <w:jc w:val="center"/>
        <w:outlineLvl w:val="2"/>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val="en-US" w:eastAsia="ru-RU"/>
        </w:rPr>
        <w:t xml:space="preserve">                                                       </w:t>
      </w:r>
      <w:r w:rsidRPr="00626D9B">
        <w:rPr>
          <w:rFonts w:ascii="Times New Roman" w:eastAsia="Times New Roman" w:hAnsi="Times New Roman" w:cs="Times New Roman"/>
          <w:bCs/>
          <w:color w:val="000000"/>
          <w:sz w:val="16"/>
          <w:szCs w:val="16"/>
          <w:lang w:val="uk-UA" w:eastAsia="ru-RU"/>
        </w:rPr>
        <w:t xml:space="preserve">Додаток </w:t>
      </w:r>
      <w:r w:rsidRPr="00626D9B">
        <w:rPr>
          <w:rFonts w:ascii="Times New Roman" w:eastAsia="Times New Roman" w:hAnsi="Times New Roman" w:cs="Times New Roman"/>
          <w:bCs/>
          <w:color w:val="000000"/>
          <w:sz w:val="16"/>
          <w:szCs w:val="16"/>
          <w:lang w:eastAsia="ru-RU"/>
        </w:rPr>
        <w:t>1</w:t>
      </w:r>
    </w:p>
    <w:p w:rsidR="00626D9B" w:rsidRPr="00626D9B" w:rsidRDefault="00626D9B" w:rsidP="00626D9B">
      <w:pPr>
        <w:spacing w:after="0" w:line="240" w:lineRule="auto"/>
        <w:outlineLvl w:val="2"/>
        <w:rPr>
          <w:rFonts w:ascii="Times New Roman" w:eastAsia="Times New Roman" w:hAnsi="Times New Roman" w:cs="Times New Roman"/>
          <w:bCs/>
          <w:color w:val="000000"/>
          <w:sz w:val="16"/>
          <w:szCs w:val="16"/>
          <w:lang w:val="uk-UA" w:eastAsia="ru-RU"/>
        </w:rPr>
      </w:pP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626D9B" w:rsidRPr="00626D9B" w:rsidRDefault="00626D9B" w:rsidP="00626D9B">
      <w:pPr>
        <w:spacing w:after="0" w:line="240" w:lineRule="auto"/>
        <w:outlineLvl w:val="2"/>
        <w:rPr>
          <w:rFonts w:ascii="Times New Roman" w:eastAsia="Times New Roman" w:hAnsi="Times New Roman" w:cs="Times New Roman"/>
          <w:bCs/>
          <w:color w:val="000000"/>
          <w:sz w:val="16"/>
          <w:szCs w:val="16"/>
          <w:lang w:val="uk-UA" w:eastAsia="ru-RU"/>
        </w:rPr>
      </w:pP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r>
      <w:r w:rsidRPr="00626D9B">
        <w:rPr>
          <w:rFonts w:ascii="Times New Roman" w:eastAsia="Times New Roman" w:hAnsi="Times New Roman" w:cs="Times New Roman"/>
          <w:bCs/>
          <w:color w:val="000000"/>
          <w:sz w:val="16"/>
          <w:szCs w:val="16"/>
          <w:lang w:val="uk-UA" w:eastAsia="ru-RU"/>
        </w:rPr>
        <w:tab/>
        <w:t>цінних паперів (пункт</w:t>
      </w:r>
      <w:r w:rsidRPr="00626D9B">
        <w:rPr>
          <w:rFonts w:ascii="Times New Roman" w:eastAsia="Times New Roman" w:hAnsi="Times New Roman" w:cs="Times New Roman"/>
          <w:bCs/>
          <w:color w:val="000000"/>
          <w:sz w:val="16"/>
          <w:szCs w:val="16"/>
          <w:lang w:eastAsia="ru-RU"/>
        </w:rPr>
        <w:t xml:space="preserve"> 7</w:t>
      </w:r>
      <w:r w:rsidRPr="00626D9B">
        <w:rPr>
          <w:rFonts w:ascii="Times New Roman" w:eastAsia="Times New Roman" w:hAnsi="Times New Roman" w:cs="Times New Roman"/>
          <w:bCs/>
          <w:color w:val="000000"/>
          <w:sz w:val="16"/>
          <w:szCs w:val="16"/>
          <w:lang w:val="uk-UA" w:eastAsia="ru-RU"/>
        </w:rPr>
        <w:t xml:space="preserve"> глави </w:t>
      </w:r>
      <w:r w:rsidRPr="00626D9B">
        <w:rPr>
          <w:rFonts w:ascii="Times New Roman" w:eastAsia="Times New Roman" w:hAnsi="Times New Roman" w:cs="Times New Roman"/>
          <w:bCs/>
          <w:color w:val="000000"/>
          <w:sz w:val="16"/>
          <w:szCs w:val="16"/>
          <w:lang w:eastAsia="ru-RU"/>
        </w:rPr>
        <w:t>1</w:t>
      </w:r>
      <w:r w:rsidRPr="00626D9B">
        <w:rPr>
          <w:rFonts w:ascii="Times New Roman" w:eastAsia="Times New Roman" w:hAnsi="Times New Roman" w:cs="Times New Roman"/>
          <w:bCs/>
          <w:color w:val="000000"/>
          <w:sz w:val="16"/>
          <w:szCs w:val="16"/>
          <w:lang w:val="uk-UA" w:eastAsia="ru-RU"/>
        </w:rPr>
        <w:t xml:space="preserve"> розділу II)</w:t>
      </w:r>
    </w:p>
    <w:p w:rsidR="00626D9B" w:rsidRPr="00626D9B" w:rsidRDefault="00626D9B" w:rsidP="00626D9B">
      <w:pPr>
        <w:spacing w:after="0" w:line="240" w:lineRule="auto"/>
        <w:outlineLvl w:val="2"/>
        <w:rPr>
          <w:rFonts w:ascii="Times New Roman" w:eastAsia="Times New Roman" w:hAnsi="Times New Roman" w:cs="Times New Roman"/>
          <w:b/>
          <w:bCs/>
          <w:color w:val="000000"/>
          <w:sz w:val="28"/>
          <w:szCs w:val="28"/>
          <w:lang w:eastAsia="ru-RU"/>
        </w:rPr>
      </w:pPr>
      <w:r w:rsidRPr="00626D9B">
        <w:rPr>
          <w:rFonts w:ascii="Times New Roman" w:eastAsia="Times New Roman" w:hAnsi="Times New Roman" w:cs="Times New Roman"/>
          <w:b/>
          <w:bCs/>
          <w:color w:val="000000"/>
          <w:sz w:val="28"/>
          <w:szCs w:val="28"/>
          <w:lang w:eastAsia="ru-RU"/>
        </w:rPr>
        <w:tab/>
      </w:r>
      <w:r w:rsidRPr="00626D9B">
        <w:rPr>
          <w:rFonts w:ascii="Times New Roman" w:eastAsia="Times New Roman" w:hAnsi="Times New Roman" w:cs="Times New Roman"/>
          <w:b/>
          <w:bCs/>
          <w:color w:val="000000"/>
          <w:sz w:val="28"/>
          <w:szCs w:val="28"/>
          <w:lang w:eastAsia="ru-RU"/>
        </w:rPr>
        <w:tab/>
      </w:r>
      <w:r w:rsidRPr="00626D9B">
        <w:rPr>
          <w:rFonts w:ascii="Times New Roman" w:eastAsia="Times New Roman" w:hAnsi="Times New Roman" w:cs="Times New Roman"/>
          <w:b/>
          <w:bCs/>
          <w:color w:val="000000"/>
          <w:sz w:val="28"/>
          <w:szCs w:val="28"/>
          <w:lang w:eastAsia="ru-RU"/>
        </w:rPr>
        <w:tab/>
      </w:r>
      <w:r w:rsidRPr="00626D9B">
        <w:rPr>
          <w:rFonts w:ascii="Times New Roman" w:eastAsia="Times New Roman" w:hAnsi="Times New Roman" w:cs="Times New Roman"/>
          <w:b/>
          <w:bCs/>
          <w:color w:val="000000"/>
          <w:sz w:val="28"/>
          <w:szCs w:val="28"/>
          <w:lang w:eastAsia="ru-RU"/>
        </w:rPr>
        <w:tab/>
      </w:r>
      <w:r w:rsidRPr="00626D9B">
        <w:rPr>
          <w:rFonts w:ascii="Times New Roman" w:eastAsia="Times New Roman" w:hAnsi="Times New Roman" w:cs="Times New Roman"/>
          <w:b/>
          <w:bCs/>
          <w:color w:val="000000"/>
          <w:sz w:val="28"/>
          <w:szCs w:val="28"/>
          <w:lang w:eastAsia="ru-RU"/>
        </w:rPr>
        <w:tab/>
      </w:r>
    </w:p>
    <w:p w:rsidR="00626D9B" w:rsidRPr="00626D9B" w:rsidRDefault="00626D9B" w:rsidP="00626D9B">
      <w:pPr>
        <w:spacing w:after="0" w:line="240" w:lineRule="auto"/>
        <w:jc w:val="center"/>
        <w:rPr>
          <w:rFonts w:ascii="Times New Roman" w:eastAsia="Times New Roman" w:hAnsi="Times New Roman" w:cs="Times New Roman"/>
          <w:sz w:val="24"/>
          <w:szCs w:val="24"/>
          <w:lang w:val="uk-UA" w:eastAsia="ru-RU"/>
        </w:rPr>
      </w:pPr>
      <w:r w:rsidRPr="00626D9B">
        <w:rPr>
          <w:rFonts w:ascii="Times New Roman" w:eastAsia="Times New Roman" w:hAnsi="Times New Roman" w:cs="Times New Roman"/>
          <w:b/>
          <w:sz w:val="24"/>
          <w:szCs w:val="24"/>
          <w:lang w:val="uk-UA" w:eastAsia="ru-RU"/>
        </w:rPr>
        <w:t>Титульний аркуш Повідомлення</w:t>
      </w:r>
      <w:r w:rsidRPr="00626D9B">
        <w:rPr>
          <w:rFonts w:ascii="Times New Roman" w:eastAsia="Times New Roman" w:hAnsi="Times New Roman" w:cs="Times New Roman"/>
          <w:sz w:val="24"/>
          <w:szCs w:val="24"/>
          <w:lang w:val="uk-UA" w:eastAsia="ru-RU"/>
        </w:rPr>
        <w:br/>
      </w:r>
      <w:r w:rsidRPr="00626D9B">
        <w:rPr>
          <w:rFonts w:ascii="Times New Roman" w:eastAsia="Times New Roman" w:hAnsi="Times New Roman" w:cs="Times New Roman"/>
          <w:b/>
          <w:sz w:val="24"/>
          <w:szCs w:val="24"/>
          <w:lang w:val="uk-UA" w:eastAsia="ru-RU"/>
        </w:rPr>
        <w:t>(Повідомлення про інформацію)</w:t>
      </w:r>
    </w:p>
    <w:p w:rsidR="00626D9B" w:rsidRPr="00626D9B" w:rsidRDefault="00626D9B" w:rsidP="00626D9B">
      <w:pPr>
        <w:spacing w:after="0" w:line="240" w:lineRule="auto"/>
        <w:outlineLvl w:val="2"/>
        <w:rPr>
          <w:rFonts w:ascii="Times New Roman" w:eastAsia="Times New Roman" w:hAnsi="Times New Roman" w:cs="Times New Roman"/>
          <w:bCs/>
          <w:sz w:val="15"/>
          <w:szCs w:val="28"/>
          <w:lang w:val="uk-UA" w:eastAsia="ru-RU"/>
        </w:rPr>
      </w:pPr>
      <w:r w:rsidRPr="00626D9B">
        <w:rPr>
          <w:rFonts w:ascii="Times New Roman" w:eastAsia="Times New Roman" w:hAnsi="Times New Roman" w:cs="Times New Roman"/>
          <w:bCs/>
          <w:sz w:val="20"/>
          <w:szCs w:val="20"/>
          <w:u w:val="single"/>
          <w:lang w:eastAsia="ru-RU"/>
        </w:rPr>
        <w:t>27.06.2023</w:t>
      </w:r>
    </w:p>
    <w:p w:rsidR="00626D9B" w:rsidRPr="00626D9B" w:rsidRDefault="00626D9B" w:rsidP="00626D9B">
      <w:pPr>
        <w:spacing w:after="0" w:line="240" w:lineRule="auto"/>
        <w:rPr>
          <w:rFonts w:ascii="Times New Roman" w:eastAsia="Times New Roman" w:hAnsi="Times New Roman" w:cs="Times New Roman"/>
          <w:sz w:val="24"/>
          <w:szCs w:val="24"/>
          <w:lang w:val="uk-UA" w:eastAsia="ru-RU"/>
        </w:rPr>
      </w:pPr>
      <w:r w:rsidRPr="00626D9B">
        <w:rPr>
          <w:rFonts w:ascii="Times New Roman" w:eastAsia="Times New Roman" w:hAnsi="Times New Roman" w:cs="Times New Roman"/>
          <w:sz w:val="15"/>
          <w:szCs w:val="24"/>
          <w:lang w:val="uk-UA" w:eastAsia="ru-RU"/>
        </w:rPr>
        <w:t>(дата реєстрації емітентом</w:t>
      </w:r>
      <w:r w:rsidRPr="00626D9B">
        <w:rPr>
          <w:rFonts w:ascii="Times New Roman" w:eastAsia="Times New Roman" w:hAnsi="Times New Roman" w:cs="Times New Roman"/>
          <w:sz w:val="24"/>
          <w:szCs w:val="24"/>
          <w:lang w:val="uk-UA" w:eastAsia="ru-RU"/>
        </w:rPr>
        <w:br/>
      </w:r>
      <w:r w:rsidRPr="00626D9B">
        <w:rPr>
          <w:rFonts w:ascii="Times New Roman" w:eastAsia="Times New Roman" w:hAnsi="Times New Roman" w:cs="Times New Roman"/>
          <w:sz w:val="15"/>
          <w:szCs w:val="24"/>
          <w:lang w:val="uk-UA" w:eastAsia="ru-RU"/>
        </w:rPr>
        <w:t>електронного документа)</w:t>
      </w:r>
      <w:bookmarkStart w:id="0" w:name="8869"/>
      <w:bookmarkEnd w:id="0"/>
    </w:p>
    <w:p w:rsidR="00626D9B" w:rsidRPr="00626D9B" w:rsidRDefault="00626D9B" w:rsidP="00626D9B">
      <w:pPr>
        <w:spacing w:after="0" w:line="240" w:lineRule="auto"/>
        <w:outlineLvl w:val="2"/>
        <w:rPr>
          <w:rFonts w:ascii="Times New Roman" w:eastAsia="Times New Roman" w:hAnsi="Times New Roman" w:cs="Times New Roman"/>
          <w:bCs/>
          <w:sz w:val="15"/>
          <w:szCs w:val="28"/>
          <w:lang w:val="uk-UA" w:eastAsia="ru-RU"/>
        </w:rPr>
      </w:pPr>
    </w:p>
    <w:p w:rsidR="00626D9B" w:rsidRPr="00626D9B" w:rsidRDefault="00626D9B" w:rsidP="00626D9B">
      <w:pPr>
        <w:spacing w:after="0" w:line="240" w:lineRule="auto"/>
        <w:outlineLvl w:val="2"/>
        <w:rPr>
          <w:rFonts w:ascii="Times New Roman" w:eastAsia="Times New Roman" w:hAnsi="Times New Roman" w:cs="Times New Roman"/>
          <w:bCs/>
          <w:sz w:val="20"/>
          <w:szCs w:val="20"/>
          <w:lang w:val="en-US" w:eastAsia="ru-RU"/>
        </w:rPr>
      </w:pPr>
      <w:r w:rsidRPr="00626D9B">
        <w:rPr>
          <w:rFonts w:ascii="Times New Roman" w:eastAsia="Times New Roman" w:hAnsi="Times New Roman" w:cs="Times New Roman"/>
          <w:bCs/>
          <w:sz w:val="20"/>
          <w:szCs w:val="20"/>
          <w:lang w:val="uk-UA" w:eastAsia="ru-RU"/>
        </w:rPr>
        <w:t>№</w:t>
      </w:r>
      <w:r w:rsidRPr="00626D9B">
        <w:rPr>
          <w:rFonts w:ascii="Times New Roman" w:eastAsia="Times New Roman" w:hAnsi="Times New Roman" w:cs="Times New Roman"/>
          <w:bCs/>
          <w:sz w:val="20"/>
          <w:szCs w:val="20"/>
          <w:lang w:eastAsia="ru-RU"/>
        </w:rPr>
        <w:t xml:space="preserve"> </w:t>
      </w:r>
      <w:r w:rsidRPr="00626D9B">
        <w:rPr>
          <w:rFonts w:ascii="Times New Roman" w:eastAsia="Times New Roman" w:hAnsi="Times New Roman" w:cs="Times New Roman"/>
          <w:bCs/>
          <w:sz w:val="20"/>
          <w:szCs w:val="20"/>
          <w:u w:val="single"/>
          <w:lang w:eastAsia="ru-RU"/>
        </w:rPr>
        <w:t>2</w:t>
      </w:r>
      <w:r>
        <w:rPr>
          <w:rFonts w:ascii="Times New Roman" w:eastAsia="Times New Roman" w:hAnsi="Times New Roman" w:cs="Times New Roman"/>
          <w:bCs/>
          <w:sz w:val="20"/>
          <w:szCs w:val="20"/>
          <w:u w:val="single"/>
          <w:lang w:val="en-US" w:eastAsia="ru-RU"/>
        </w:rPr>
        <w:t>1</w:t>
      </w:r>
    </w:p>
    <w:p w:rsidR="00626D9B" w:rsidRPr="00626D9B" w:rsidRDefault="00626D9B" w:rsidP="00626D9B">
      <w:pPr>
        <w:spacing w:after="0" w:line="240" w:lineRule="auto"/>
        <w:outlineLvl w:val="2"/>
        <w:rPr>
          <w:rFonts w:ascii="Times New Roman" w:eastAsia="Times New Roman" w:hAnsi="Times New Roman" w:cs="Times New Roman"/>
          <w:bCs/>
          <w:sz w:val="15"/>
          <w:szCs w:val="28"/>
          <w:lang w:val="uk-UA" w:eastAsia="ru-RU"/>
        </w:rPr>
      </w:pPr>
      <w:r w:rsidRPr="00626D9B">
        <w:rPr>
          <w:rFonts w:ascii="Times New Roman" w:eastAsia="Times New Roman" w:hAnsi="Times New Roman" w:cs="Times New Roman"/>
          <w:bCs/>
          <w:sz w:val="15"/>
          <w:szCs w:val="28"/>
          <w:lang w:val="uk-UA" w:eastAsia="ru-RU"/>
        </w:rPr>
        <w:t xml:space="preserve"> (вихідний реєстраційний</w:t>
      </w:r>
      <w:r w:rsidRPr="00626D9B">
        <w:rPr>
          <w:rFonts w:ascii="Times New Roman" w:eastAsia="Times New Roman" w:hAnsi="Times New Roman" w:cs="Times New Roman"/>
          <w:bCs/>
          <w:sz w:val="28"/>
          <w:szCs w:val="28"/>
          <w:lang w:val="uk-UA" w:eastAsia="ru-RU"/>
        </w:rPr>
        <w:br/>
      </w:r>
      <w:r w:rsidRPr="00626D9B">
        <w:rPr>
          <w:rFonts w:ascii="Times New Roman" w:eastAsia="Times New Roman" w:hAnsi="Times New Roman" w:cs="Times New Roman"/>
          <w:bCs/>
          <w:sz w:val="15"/>
          <w:szCs w:val="28"/>
          <w:lang w:val="uk-UA" w:eastAsia="ru-RU"/>
        </w:rPr>
        <w:t>номер електронного документа)</w:t>
      </w:r>
    </w:p>
    <w:p w:rsidR="00626D9B" w:rsidRPr="00626D9B" w:rsidRDefault="00626D9B" w:rsidP="00626D9B">
      <w:pPr>
        <w:spacing w:after="0" w:line="240" w:lineRule="auto"/>
        <w:outlineLvl w:val="2"/>
        <w:rPr>
          <w:rFonts w:ascii="Times New Roman" w:eastAsia="Times New Roman" w:hAnsi="Times New Roman" w:cs="Times New Roman"/>
          <w:bCs/>
          <w:color w:val="000000"/>
          <w:sz w:val="28"/>
          <w:szCs w:val="28"/>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626D9B" w:rsidRPr="00626D9B" w:rsidTr="00FD70EF">
        <w:tc>
          <w:tcPr>
            <w:tcW w:w="5000" w:type="pct"/>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ind w:firstLine="240"/>
              <w:rPr>
                <w:rFonts w:ascii="Times New Roman" w:eastAsia="Times New Roman" w:hAnsi="Times New Roman" w:cs="Times New Roman"/>
                <w:i/>
                <w:color w:val="000000"/>
                <w:sz w:val="20"/>
                <w:szCs w:val="20"/>
                <w:lang w:val="uk-UA" w:eastAsia="ru-RU"/>
              </w:rPr>
            </w:pPr>
            <w:r w:rsidRPr="00626D9B">
              <w:rPr>
                <w:rFonts w:ascii="Times New Roman" w:eastAsia="Times New Roman" w:hAnsi="Times New Roman" w:cs="Times New Roman"/>
                <w:sz w:val="18"/>
                <w:szCs w:val="24"/>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626D9B" w:rsidRPr="00626D9B" w:rsidRDefault="00626D9B" w:rsidP="00626D9B">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626D9B" w:rsidRPr="00626D9B" w:rsidTr="00FD70EF">
        <w:tc>
          <w:tcPr>
            <w:tcW w:w="1562" w:type="dxa"/>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0"/>
                <w:szCs w:val="20"/>
                <w:lang w:val="en-US" w:eastAsia="ru-RU"/>
              </w:rPr>
            </w:pPr>
            <w:r w:rsidRPr="00626D9B">
              <w:rPr>
                <w:rFonts w:ascii="Times New Roman" w:eastAsia="Times New Roman" w:hAnsi="Times New Roman" w:cs="Times New Roman"/>
                <w:color w:val="000000"/>
                <w:sz w:val="20"/>
                <w:szCs w:val="20"/>
                <w:lang w:val="en-US" w:eastAsia="ru-RU"/>
              </w:rPr>
              <w:t>Директор</w:t>
            </w:r>
          </w:p>
        </w:tc>
        <w:tc>
          <w:tcPr>
            <w:tcW w:w="180" w:type="dxa"/>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0"/>
                <w:szCs w:val="20"/>
                <w:lang w:eastAsia="ru-RU"/>
              </w:rPr>
            </w:pPr>
            <w:r w:rsidRPr="00626D9B">
              <w:rPr>
                <w:rFonts w:ascii="Times New Roman" w:eastAsia="Times New Roman" w:hAnsi="Times New Roman" w:cs="Times New Roman"/>
                <w:color w:val="000000"/>
                <w:sz w:val="20"/>
                <w:szCs w:val="20"/>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0"/>
                <w:szCs w:val="20"/>
                <w:lang w:eastAsia="ru-RU"/>
              </w:rPr>
            </w:pPr>
            <w:r w:rsidRPr="00626D9B">
              <w:rPr>
                <w:rFonts w:ascii="Times New Roman" w:eastAsia="Times New Roman" w:hAnsi="Times New Roman" w:cs="Times New Roman"/>
                <w:color w:val="000000"/>
                <w:sz w:val="20"/>
                <w:szCs w:val="20"/>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4"/>
                <w:szCs w:val="24"/>
                <w:lang w:eastAsia="ru-RU"/>
              </w:rPr>
            </w:pPr>
            <w:r w:rsidRPr="00626D9B">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626D9B" w:rsidRPr="00626D9B" w:rsidRDefault="00626D9B" w:rsidP="00626D9B">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26D9B">
              <w:rPr>
                <w:rFonts w:ascii="Times New Roman" w:eastAsia="Times New Roman" w:hAnsi="Times New Roman" w:cs="Times New Roman"/>
                <w:color w:val="000000"/>
                <w:sz w:val="20"/>
                <w:szCs w:val="20"/>
                <w:lang w:val="en-US" w:eastAsia="ru-RU"/>
              </w:rPr>
              <w:t>Комаров Сергій Миколайович</w:t>
            </w:r>
          </w:p>
        </w:tc>
      </w:tr>
      <w:tr w:rsidR="00626D9B" w:rsidRPr="00626D9B" w:rsidTr="00FD70EF">
        <w:tc>
          <w:tcPr>
            <w:tcW w:w="1562" w:type="dxa"/>
            <w:tcBorders>
              <w:top w:val="single" w:sz="6" w:space="0" w:color="CCCCCC"/>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4"/>
                <w:szCs w:val="24"/>
                <w:lang w:eastAsia="ru-RU"/>
              </w:rPr>
            </w:pPr>
            <w:r w:rsidRPr="00626D9B">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4"/>
                <w:szCs w:val="24"/>
                <w:lang w:eastAsia="ru-RU"/>
              </w:rPr>
            </w:pPr>
            <w:r w:rsidRPr="00626D9B">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4"/>
                <w:szCs w:val="24"/>
                <w:lang w:eastAsia="ru-RU"/>
              </w:rPr>
            </w:pPr>
            <w:r w:rsidRPr="00626D9B">
              <w:rPr>
                <w:rFonts w:ascii="Times New Roman" w:eastAsia="Times New Roman" w:hAnsi="Times New Roman" w:cs="Times New Roman"/>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4"/>
                <w:szCs w:val="24"/>
                <w:lang w:eastAsia="ru-RU"/>
              </w:rPr>
            </w:pPr>
            <w:r w:rsidRPr="00626D9B">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color w:val="000000"/>
                <w:sz w:val="24"/>
                <w:szCs w:val="24"/>
                <w:lang w:eastAsia="ru-RU"/>
              </w:rPr>
            </w:pPr>
            <w:r w:rsidRPr="00626D9B">
              <w:rPr>
                <w:rFonts w:ascii="Times New Roman" w:eastAsia="Times New Roman" w:hAnsi="Times New Roman" w:cs="Times New Roman"/>
                <w:color w:val="000000"/>
                <w:sz w:val="20"/>
                <w:szCs w:val="20"/>
                <w:lang w:eastAsia="ru-RU"/>
              </w:rPr>
              <w:t>(прізвище та ініціали керівника)</w:t>
            </w:r>
          </w:p>
        </w:tc>
      </w:tr>
      <w:tr w:rsidR="00626D9B" w:rsidRPr="00626D9B" w:rsidTr="00FD70EF">
        <w:tc>
          <w:tcPr>
            <w:tcW w:w="9601" w:type="dxa"/>
            <w:gridSpan w:val="5"/>
            <w:tcBorders>
              <w:top w:val="nil"/>
              <w:left w:val="nil"/>
              <w:bottom w:val="nil"/>
              <w:right w:val="nil"/>
            </w:tcBorders>
            <w:tcMar>
              <w:top w:w="60" w:type="dxa"/>
              <w:left w:w="60" w:type="dxa"/>
              <w:bottom w:w="60" w:type="dxa"/>
              <w:right w:w="60" w:type="dxa"/>
            </w:tcMar>
            <w:vAlign w:val="center"/>
          </w:tcPr>
          <w:p w:rsidR="00626D9B" w:rsidRPr="00626D9B" w:rsidRDefault="00626D9B" w:rsidP="00626D9B">
            <w:pPr>
              <w:spacing w:before="100" w:beforeAutospacing="1" w:after="100" w:afterAutospacing="1" w:line="240" w:lineRule="auto"/>
              <w:ind w:firstLine="567"/>
              <w:jc w:val="center"/>
              <w:rPr>
                <w:rFonts w:ascii="Times New Roman" w:eastAsia="Times New Roman" w:hAnsi="Times New Roman" w:cs="Times New Roman"/>
                <w:b/>
                <w:bCs/>
                <w:sz w:val="28"/>
                <w:szCs w:val="28"/>
                <w:lang w:eastAsia="ru-RU"/>
              </w:rPr>
            </w:pPr>
          </w:p>
          <w:p w:rsidR="00626D9B" w:rsidRPr="00626D9B" w:rsidRDefault="00626D9B" w:rsidP="00626D9B">
            <w:pPr>
              <w:spacing w:before="100" w:beforeAutospacing="1" w:after="100" w:afterAutospacing="1" w:line="240" w:lineRule="auto"/>
              <w:ind w:firstLine="567"/>
              <w:jc w:val="center"/>
              <w:rPr>
                <w:rFonts w:ascii="Times New Roman" w:eastAsia="Times New Roman" w:hAnsi="Times New Roman" w:cs="Times New Roman"/>
                <w:b/>
                <w:bCs/>
                <w:color w:val="000000"/>
                <w:sz w:val="28"/>
                <w:szCs w:val="28"/>
                <w:lang w:val="uk-UA" w:eastAsia="ru-RU"/>
              </w:rPr>
            </w:pPr>
            <w:r w:rsidRPr="00626D9B">
              <w:rPr>
                <w:rFonts w:ascii="Times New Roman" w:eastAsia="Times New Roman" w:hAnsi="Times New Roman" w:cs="Times New Roman"/>
                <w:b/>
                <w:bCs/>
                <w:sz w:val="28"/>
                <w:szCs w:val="28"/>
                <w:lang w:val="uk-UA" w:eastAsia="ru-RU"/>
              </w:rPr>
              <w:t>Особлива інформація (інформація про іпотечні цінні папери, сертифікати фонду операцій з нерухомістю) емітента</w:t>
            </w:r>
          </w:p>
        </w:tc>
      </w:tr>
    </w:tbl>
    <w:p w:rsidR="00626D9B" w:rsidRPr="00626D9B" w:rsidRDefault="00626D9B" w:rsidP="00626D9B">
      <w:pPr>
        <w:spacing w:after="0" w:line="240" w:lineRule="auto"/>
        <w:rPr>
          <w:rFonts w:ascii="Times New Roman" w:eastAsia="Times New Roman" w:hAnsi="Times New Roman" w:cs="Times New Roman"/>
          <w:vanish/>
          <w:color w:val="000000"/>
          <w:sz w:val="24"/>
          <w:szCs w:val="24"/>
          <w:lang w:eastAsia="ru-RU"/>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626D9B" w:rsidRPr="00626D9B" w:rsidTr="00FD70EF">
        <w:tc>
          <w:tcPr>
            <w:tcW w:w="5000" w:type="pct"/>
            <w:gridSpan w:val="2"/>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b/>
                <w:bCs/>
                <w:color w:val="000000"/>
                <w:sz w:val="24"/>
                <w:szCs w:val="24"/>
                <w:lang w:eastAsia="ru-RU"/>
              </w:rPr>
            </w:pPr>
            <w:r w:rsidRPr="00626D9B">
              <w:rPr>
                <w:rFonts w:ascii="Times New Roman" w:eastAsia="Times New Roman" w:hAnsi="Times New Roman" w:cs="Times New Roman"/>
                <w:b/>
                <w:bCs/>
                <w:color w:val="000000"/>
                <w:sz w:val="24"/>
                <w:szCs w:val="24"/>
                <w:lang w:val="en-US" w:eastAsia="ru-RU"/>
              </w:rPr>
              <w:t>I</w:t>
            </w:r>
            <w:r w:rsidRPr="00626D9B">
              <w:rPr>
                <w:rFonts w:ascii="Times New Roman" w:eastAsia="Times New Roman" w:hAnsi="Times New Roman" w:cs="Times New Roman"/>
                <w:b/>
                <w:bCs/>
                <w:color w:val="000000"/>
                <w:sz w:val="24"/>
                <w:szCs w:val="24"/>
                <w:lang w:eastAsia="ru-RU"/>
              </w:rPr>
              <w:t>. Загальні відомості</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eastAsia="ru-RU"/>
              </w:rPr>
              <w:t>1. Повне найменування емітента</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Приватне акціонерне товариство "Рівнеавтошляхбуд"</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eastAsia="ru-RU"/>
              </w:rPr>
              <w:t>2. Організаційно-правова форма</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Приватне акцiонерне товариство</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val="en-US" w:eastAsia="ru-RU"/>
              </w:rPr>
              <w:t>3</w:t>
            </w:r>
            <w:r w:rsidRPr="00626D9B">
              <w:rPr>
                <w:rFonts w:ascii="Times New Roman" w:eastAsia="Times New Roman" w:hAnsi="Times New Roman" w:cs="Times New Roman"/>
                <w:b/>
                <w:color w:val="000000"/>
                <w:sz w:val="20"/>
                <w:szCs w:val="20"/>
                <w:lang w:eastAsia="ru-RU"/>
              </w:rPr>
              <w:t xml:space="preserve">. Місцезнаходження </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eastAsia="ru-RU"/>
              </w:rPr>
            </w:pPr>
            <w:r w:rsidRPr="00626D9B">
              <w:rPr>
                <w:rFonts w:ascii="Times New Roman" w:eastAsia="Times New Roman" w:hAnsi="Times New Roman" w:cs="Times New Roman"/>
                <w:sz w:val="20"/>
                <w:szCs w:val="20"/>
                <w:lang w:val="uk-UA" w:eastAsia="ru-RU"/>
              </w:rPr>
              <w:t>33000 м. Рівне вул. Соборна, буд. 446</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eastAsia="ru-RU"/>
              </w:rPr>
              <w:t xml:space="preserve">4. </w:t>
            </w:r>
            <w:r w:rsidRPr="00626D9B">
              <w:rPr>
                <w:rFonts w:ascii="Times New Roman" w:eastAsia="Times New Roman" w:hAnsi="Times New Roman" w:cs="Times New Roman"/>
                <w:b/>
                <w:sz w:val="20"/>
                <w:szCs w:val="20"/>
                <w:lang w:val="uk-UA" w:eastAsia="ru-RU"/>
              </w:rPr>
              <w:t>Ідентифікаційний код юридичної особи</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31435931</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eastAsia="ru-RU"/>
              </w:rPr>
              <w:t xml:space="preserve">5. Міжміський код </w:t>
            </w:r>
            <w:r w:rsidRPr="00626D9B">
              <w:rPr>
                <w:rFonts w:ascii="Times New Roman" w:eastAsia="Times New Roman" w:hAnsi="Times New Roman" w:cs="Times New Roman"/>
                <w:b/>
                <w:color w:val="000000"/>
                <w:sz w:val="20"/>
                <w:szCs w:val="20"/>
                <w:lang w:val="uk-UA" w:eastAsia="ru-RU"/>
              </w:rPr>
              <w:t xml:space="preserve">та </w:t>
            </w:r>
            <w:r w:rsidRPr="00626D9B">
              <w:rPr>
                <w:rFonts w:ascii="Times New Roman" w:eastAsia="Times New Roman" w:hAnsi="Times New Roman" w:cs="Times New Roman"/>
                <w:b/>
                <w:color w:val="000000"/>
                <w:sz w:val="20"/>
                <w:szCs w:val="20"/>
                <w:lang w:eastAsia="ru-RU"/>
              </w:rPr>
              <w:t>телефон</w:t>
            </w:r>
            <w:r w:rsidRPr="00626D9B">
              <w:rPr>
                <w:rFonts w:ascii="Times New Roman" w:eastAsia="Times New Roman" w:hAnsi="Times New Roman" w:cs="Times New Roman"/>
                <w:b/>
                <w:color w:val="000000"/>
                <w:sz w:val="20"/>
                <w:szCs w:val="20"/>
                <w:lang w:val="uk-UA" w:eastAsia="ru-RU"/>
              </w:rPr>
              <w:t xml:space="preserve">, </w:t>
            </w:r>
            <w:r w:rsidRPr="00626D9B">
              <w:rPr>
                <w:rFonts w:ascii="Times New Roman" w:eastAsia="Times New Roman" w:hAnsi="Times New Roman" w:cs="Times New Roman"/>
                <w:b/>
                <w:color w:val="000000"/>
                <w:sz w:val="20"/>
                <w:szCs w:val="20"/>
                <w:lang w:eastAsia="ru-RU"/>
              </w:rPr>
              <w:t xml:space="preserve">факс </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(0362) 64-20-15 (0362) 64-20-12</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eastAsia="ru-RU"/>
              </w:rPr>
              <w:t xml:space="preserve">6. </w:t>
            </w:r>
            <w:r w:rsidRPr="00626D9B">
              <w:rPr>
                <w:rFonts w:ascii="Times New Roman" w:eastAsia="Times New Roman" w:hAnsi="Times New Roman" w:cs="Times New Roman"/>
                <w:b/>
                <w:sz w:val="20"/>
                <w:szCs w:val="20"/>
                <w:lang w:val="uk-UA" w:eastAsia="ru-RU"/>
              </w:rPr>
              <w:t>Адреса електронної пошти</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rashb@ukr.net</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after="0"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color w:val="000000"/>
                <w:sz w:val="20"/>
                <w:szCs w:val="20"/>
                <w:lang w:eastAsia="ru-RU"/>
              </w:rPr>
              <w:t xml:space="preserve">7. </w:t>
            </w:r>
            <w:r w:rsidRPr="00626D9B">
              <w:rPr>
                <w:rFonts w:ascii="Times New Roman" w:eastAsia="Times New Roman" w:hAnsi="Times New Roman" w:cs="Times New Roman"/>
                <w:b/>
                <w:sz w:val="20"/>
                <w:szCs w:val="20"/>
                <w:lang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eastAsia="ru-RU"/>
              </w:rPr>
            </w:pPr>
            <w:r w:rsidRPr="00626D9B">
              <w:rPr>
                <w:rFonts w:ascii="Times New Roman" w:eastAsia="Times New Roman" w:hAnsi="Times New Roman" w:cs="Times New Roman"/>
                <w:sz w:val="20"/>
                <w:szCs w:val="20"/>
                <w:lang w:eastAsia="ru-RU"/>
              </w:rPr>
              <w:t xml:space="preserve"> </w:t>
            </w:r>
          </w:p>
        </w:tc>
      </w:tr>
      <w:tr w:rsidR="00626D9B" w:rsidRPr="00626D9B" w:rsidTr="00FD70EF">
        <w:tc>
          <w:tcPr>
            <w:tcW w:w="2791" w:type="pct"/>
            <w:tcMar>
              <w:top w:w="60" w:type="dxa"/>
              <w:left w:w="60" w:type="dxa"/>
              <w:bottom w:w="60" w:type="dxa"/>
              <w:right w:w="60" w:type="dxa"/>
            </w:tcMar>
            <w:vAlign w:val="center"/>
          </w:tcPr>
          <w:p w:rsidR="00626D9B" w:rsidRPr="00626D9B" w:rsidRDefault="00626D9B" w:rsidP="00626D9B">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626D9B">
              <w:rPr>
                <w:rFonts w:ascii="Times New Roman" w:eastAsia="Times New Roman" w:hAnsi="Times New Roman" w:cs="Times New Roman"/>
                <w:b/>
                <w:sz w:val="20"/>
                <w:szCs w:val="20"/>
                <w:lang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626D9B" w:rsidRPr="00626D9B" w:rsidRDefault="00626D9B" w:rsidP="00626D9B">
            <w:pPr>
              <w:spacing w:after="0" w:line="240" w:lineRule="auto"/>
              <w:rPr>
                <w:rFonts w:ascii="Times New Roman" w:eastAsia="Times New Roman" w:hAnsi="Times New Roman" w:cs="Times New Roman"/>
                <w:sz w:val="20"/>
                <w:szCs w:val="20"/>
                <w:lang w:eastAsia="ru-RU"/>
              </w:rPr>
            </w:pPr>
            <w:r w:rsidRPr="00626D9B">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21676262</w:t>
            </w:r>
          </w:p>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Україна</w:t>
            </w:r>
          </w:p>
          <w:p w:rsidR="00626D9B" w:rsidRPr="00626D9B" w:rsidRDefault="00626D9B" w:rsidP="00626D9B">
            <w:pPr>
              <w:spacing w:after="0" w:line="240" w:lineRule="auto"/>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DR/00002/ARM</w:t>
            </w:r>
          </w:p>
        </w:tc>
      </w:tr>
      <w:tr w:rsidR="00626D9B" w:rsidRPr="00626D9B" w:rsidTr="00FD70E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26D9B" w:rsidRPr="00626D9B" w:rsidRDefault="00626D9B" w:rsidP="00626D9B">
            <w:pPr>
              <w:spacing w:before="100" w:beforeAutospacing="1" w:after="100" w:afterAutospacing="1" w:line="240" w:lineRule="auto"/>
              <w:rPr>
                <w:rFonts w:ascii="Times New Roman" w:eastAsia="Times New Roman" w:hAnsi="Times New Roman" w:cs="Times New Roman"/>
                <w:b/>
                <w:bCs/>
                <w:sz w:val="24"/>
                <w:szCs w:val="24"/>
                <w:lang w:val="uk-UA" w:eastAsia="ru-RU"/>
              </w:rPr>
            </w:pPr>
            <w:r w:rsidRPr="00626D9B">
              <w:rPr>
                <w:rFonts w:ascii="Times New Roman" w:eastAsia="Times New Roman" w:hAnsi="Times New Roman" w:cs="Times New Roman"/>
                <w:b/>
                <w:bCs/>
                <w:sz w:val="24"/>
                <w:szCs w:val="24"/>
                <w:lang w:val="uk-UA" w:eastAsia="ru-RU"/>
              </w:rPr>
              <w:t>II. Дані про дату та місце оприлюднення Повідомлення (Повідомлення про інформацію)</w:t>
            </w:r>
          </w:p>
        </w:tc>
      </w:tr>
    </w:tbl>
    <w:p w:rsidR="00626D9B" w:rsidRPr="00626D9B" w:rsidRDefault="00626D9B" w:rsidP="00626D9B">
      <w:pPr>
        <w:spacing w:after="0" w:line="240" w:lineRule="auto"/>
        <w:rPr>
          <w:rFonts w:ascii="Times New Roman" w:eastAsia="Times New Roman" w:hAnsi="Times New Roman" w:cs="Times New Roman"/>
          <w:vanish/>
          <w:color w:val="000000"/>
          <w:sz w:val="20"/>
          <w:szCs w:val="20"/>
          <w:lang w:eastAsia="ru-RU"/>
        </w:rPr>
      </w:pPr>
    </w:p>
    <w:p w:rsidR="00626D9B" w:rsidRPr="00626D9B" w:rsidRDefault="00626D9B" w:rsidP="00626D9B">
      <w:pPr>
        <w:spacing w:after="0" w:line="240" w:lineRule="auto"/>
        <w:rPr>
          <w:rFonts w:ascii="Times New Roman" w:eastAsia="Times New Roman" w:hAnsi="Times New Roman" w:cs="Times New Roman"/>
          <w:vanish/>
          <w:color w:val="000000"/>
          <w:sz w:val="20"/>
          <w:szCs w:val="20"/>
          <w:lang w:eastAsia="ru-RU"/>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626D9B" w:rsidRPr="00626D9B" w:rsidTr="00FD70EF">
        <w:trPr>
          <w:trHeight w:val="405"/>
        </w:trPr>
        <w:tc>
          <w:tcPr>
            <w:tcW w:w="3326" w:type="dxa"/>
            <w:tcMar>
              <w:top w:w="60" w:type="dxa"/>
              <w:left w:w="60" w:type="dxa"/>
              <w:bottom w:w="60" w:type="dxa"/>
              <w:right w:w="60" w:type="dxa"/>
            </w:tcMar>
            <w:vAlign w:val="bottom"/>
          </w:tcPr>
          <w:p w:rsidR="00626D9B" w:rsidRPr="00626D9B" w:rsidRDefault="00626D9B" w:rsidP="00626D9B">
            <w:pPr>
              <w:spacing w:after="0" w:line="240" w:lineRule="auto"/>
              <w:rPr>
                <w:rFonts w:ascii="Times New Roman" w:eastAsia="Times New Roman" w:hAnsi="Times New Roman" w:cs="Times New Roman"/>
                <w:b/>
                <w:sz w:val="18"/>
                <w:szCs w:val="18"/>
                <w:lang w:eastAsia="ru-RU"/>
              </w:rPr>
            </w:pPr>
            <w:r w:rsidRPr="00626D9B">
              <w:rPr>
                <w:rFonts w:ascii="Times New Roman" w:eastAsia="Times New Roman" w:hAnsi="Times New Roman" w:cs="Times New Roman"/>
                <w:b/>
                <w:sz w:val="18"/>
                <w:szCs w:val="18"/>
                <w:lang w:val="uk-UA" w:eastAsia="ru-RU"/>
              </w:rPr>
              <w:t>Повідомлення розміщено на власному веб-сайті учасника фондового ринку</w:t>
            </w:r>
            <w:r w:rsidRPr="00626D9B">
              <w:rPr>
                <w:rFonts w:ascii="Times New Roman" w:eastAsia="Times New Roman" w:hAnsi="Times New Roman" w:cs="Times New Roman"/>
                <w:b/>
                <w:bCs/>
                <w:sz w:val="18"/>
                <w:szCs w:val="18"/>
                <w:lang w:eastAsia="ru-RU"/>
              </w:rPr>
              <w:t> </w:t>
            </w:r>
          </w:p>
        </w:tc>
        <w:tc>
          <w:tcPr>
            <w:tcW w:w="5314" w:type="dxa"/>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b/>
                <w:sz w:val="20"/>
                <w:szCs w:val="20"/>
                <w:lang w:eastAsia="ru-RU"/>
              </w:rPr>
            </w:pPr>
            <w:r w:rsidRPr="00626D9B">
              <w:rPr>
                <w:rFonts w:ascii="Times New Roman" w:eastAsia="Times New Roman" w:hAnsi="Times New Roman" w:cs="Times New Roman"/>
                <w:sz w:val="20"/>
                <w:szCs w:val="20"/>
                <w:lang w:val="en-US" w:eastAsia="ru-RU"/>
              </w:rPr>
              <w:t>http</w:t>
            </w:r>
            <w:r w:rsidRPr="00626D9B">
              <w:rPr>
                <w:rFonts w:ascii="Times New Roman" w:eastAsia="Times New Roman" w:hAnsi="Times New Roman" w:cs="Times New Roman"/>
                <w:sz w:val="20"/>
                <w:szCs w:val="20"/>
                <w:lang w:eastAsia="ru-RU"/>
              </w:rPr>
              <w:t>://</w:t>
            </w:r>
            <w:r w:rsidRPr="00626D9B">
              <w:rPr>
                <w:rFonts w:ascii="Times New Roman" w:eastAsia="Times New Roman" w:hAnsi="Times New Roman" w:cs="Times New Roman"/>
                <w:sz w:val="20"/>
                <w:szCs w:val="20"/>
                <w:lang w:val="en-US" w:eastAsia="ru-RU"/>
              </w:rPr>
              <w:t>rivneavtoshlyahbud</w:t>
            </w:r>
            <w:r w:rsidRPr="00626D9B">
              <w:rPr>
                <w:rFonts w:ascii="Times New Roman" w:eastAsia="Times New Roman" w:hAnsi="Times New Roman" w:cs="Times New Roman"/>
                <w:sz w:val="20"/>
                <w:szCs w:val="20"/>
                <w:lang w:eastAsia="ru-RU"/>
              </w:rPr>
              <w:t>.</w:t>
            </w:r>
            <w:r w:rsidRPr="00626D9B">
              <w:rPr>
                <w:rFonts w:ascii="Times New Roman" w:eastAsia="Times New Roman" w:hAnsi="Times New Roman" w:cs="Times New Roman"/>
                <w:sz w:val="20"/>
                <w:szCs w:val="20"/>
                <w:lang w:val="en-US" w:eastAsia="ru-RU"/>
              </w:rPr>
              <w:t>pat</w:t>
            </w:r>
            <w:r w:rsidRPr="00626D9B">
              <w:rPr>
                <w:rFonts w:ascii="Times New Roman" w:eastAsia="Times New Roman" w:hAnsi="Times New Roman" w:cs="Times New Roman"/>
                <w:sz w:val="20"/>
                <w:szCs w:val="20"/>
                <w:lang w:eastAsia="ru-RU"/>
              </w:rPr>
              <w:t>.</w:t>
            </w:r>
            <w:r w:rsidRPr="00626D9B">
              <w:rPr>
                <w:rFonts w:ascii="Times New Roman" w:eastAsia="Times New Roman" w:hAnsi="Times New Roman" w:cs="Times New Roman"/>
                <w:sz w:val="20"/>
                <w:szCs w:val="20"/>
                <w:lang w:val="en-US" w:eastAsia="ru-RU"/>
              </w:rPr>
              <w:t>ua</w:t>
            </w:r>
            <w:r w:rsidRPr="00626D9B">
              <w:rPr>
                <w:rFonts w:ascii="Times New Roman" w:eastAsia="Times New Roman" w:hAnsi="Times New Roman" w:cs="Times New Roman"/>
                <w:sz w:val="20"/>
                <w:szCs w:val="20"/>
                <w:lang w:eastAsia="ru-RU"/>
              </w:rPr>
              <w:t>/</w:t>
            </w:r>
            <w:r w:rsidRPr="00626D9B">
              <w:rPr>
                <w:rFonts w:ascii="Times New Roman" w:eastAsia="Times New Roman" w:hAnsi="Times New Roman" w:cs="Times New Roman"/>
                <w:sz w:val="20"/>
                <w:szCs w:val="20"/>
                <w:lang w:val="en-US" w:eastAsia="ru-RU"/>
              </w:rPr>
              <w:t>emitents</w:t>
            </w:r>
            <w:r w:rsidRPr="00626D9B">
              <w:rPr>
                <w:rFonts w:ascii="Times New Roman" w:eastAsia="Times New Roman" w:hAnsi="Times New Roman" w:cs="Times New Roman"/>
                <w:sz w:val="20"/>
                <w:szCs w:val="20"/>
                <w:lang w:eastAsia="ru-RU"/>
              </w:rPr>
              <w:t>/</w:t>
            </w:r>
            <w:r w:rsidRPr="00626D9B">
              <w:rPr>
                <w:rFonts w:ascii="Times New Roman" w:eastAsia="Times New Roman" w:hAnsi="Times New Roman" w:cs="Times New Roman"/>
                <w:sz w:val="20"/>
                <w:szCs w:val="20"/>
                <w:lang w:val="en-US" w:eastAsia="ru-RU"/>
              </w:rPr>
              <w:t>reports</w:t>
            </w:r>
            <w:r w:rsidRPr="00626D9B">
              <w:rPr>
                <w:rFonts w:ascii="Times New Roman" w:eastAsia="Times New Roman" w:hAnsi="Times New Roman" w:cs="Times New Roman"/>
                <w:sz w:val="20"/>
                <w:szCs w:val="20"/>
                <w:lang w:eastAsia="ru-RU"/>
              </w:rPr>
              <w:t>/</w:t>
            </w:r>
            <w:r w:rsidRPr="00626D9B">
              <w:rPr>
                <w:rFonts w:ascii="Times New Roman" w:eastAsia="Times New Roman" w:hAnsi="Times New Roman" w:cs="Times New Roman"/>
                <w:sz w:val="20"/>
                <w:szCs w:val="20"/>
                <w:lang w:val="en-US" w:eastAsia="ru-RU"/>
              </w:rPr>
              <w:t>special</w:t>
            </w:r>
          </w:p>
        </w:tc>
        <w:tc>
          <w:tcPr>
            <w:tcW w:w="1501" w:type="dxa"/>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sz w:val="20"/>
                <w:szCs w:val="20"/>
                <w:lang w:val="en-US" w:eastAsia="ru-RU"/>
              </w:rPr>
            </w:pPr>
            <w:r w:rsidRPr="00626D9B">
              <w:rPr>
                <w:rFonts w:ascii="Times New Roman" w:eastAsia="Times New Roman" w:hAnsi="Times New Roman" w:cs="Times New Roman"/>
                <w:sz w:val="20"/>
                <w:szCs w:val="20"/>
                <w:lang w:val="en-US" w:eastAsia="ru-RU"/>
              </w:rPr>
              <w:t>27.06.2023</w:t>
            </w:r>
          </w:p>
        </w:tc>
      </w:tr>
      <w:tr w:rsidR="00626D9B" w:rsidRPr="00626D9B" w:rsidTr="00FD70EF">
        <w:trPr>
          <w:trHeight w:val="465"/>
        </w:trPr>
        <w:tc>
          <w:tcPr>
            <w:tcW w:w="3326" w:type="dxa"/>
            <w:tcMar>
              <w:top w:w="60" w:type="dxa"/>
              <w:left w:w="60" w:type="dxa"/>
              <w:bottom w:w="60" w:type="dxa"/>
              <w:right w:w="60" w:type="dxa"/>
            </w:tcMar>
            <w:vAlign w:val="center"/>
          </w:tcPr>
          <w:p w:rsidR="00626D9B" w:rsidRPr="00626D9B" w:rsidRDefault="00626D9B" w:rsidP="00626D9B">
            <w:pPr>
              <w:spacing w:after="0" w:line="240" w:lineRule="auto"/>
              <w:jc w:val="center"/>
              <w:rPr>
                <w:rFonts w:ascii="Times New Roman" w:eastAsia="Times New Roman" w:hAnsi="Times New Roman" w:cs="Times New Roman"/>
                <w:b/>
                <w:bCs/>
                <w:sz w:val="18"/>
                <w:szCs w:val="18"/>
                <w:lang w:eastAsia="ru-RU"/>
              </w:rPr>
            </w:pPr>
          </w:p>
        </w:tc>
        <w:tc>
          <w:tcPr>
            <w:tcW w:w="5314" w:type="dxa"/>
            <w:tcMar>
              <w:top w:w="60" w:type="dxa"/>
              <w:left w:w="60" w:type="dxa"/>
              <w:bottom w:w="60" w:type="dxa"/>
              <w:right w:w="60" w:type="dxa"/>
            </w:tcMar>
          </w:tcPr>
          <w:p w:rsidR="00626D9B" w:rsidRPr="00626D9B" w:rsidRDefault="00626D9B" w:rsidP="00626D9B">
            <w:pPr>
              <w:spacing w:after="0" w:line="240" w:lineRule="auto"/>
              <w:jc w:val="center"/>
              <w:rPr>
                <w:rFonts w:ascii="Times New Roman" w:eastAsia="Times New Roman" w:hAnsi="Times New Roman" w:cs="Times New Roman"/>
                <w:sz w:val="20"/>
                <w:szCs w:val="20"/>
                <w:lang w:eastAsia="ru-RU"/>
              </w:rPr>
            </w:pPr>
            <w:r w:rsidRPr="00626D9B">
              <w:rPr>
                <w:rFonts w:ascii="Times New Roman" w:eastAsia="Times New Roman" w:hAnsi="Times New Roman" w:cs="Times New Roman"/>
                <w:sz w:val="20"/>
                <w:szCs w:val="20"/>
                <w:lang w:eastAsia="ru-RU"/>
              </w:rPr>
              <w:t>(URL-адреса веб-сайту)</w:t>
            </w:r>
          </w:p>
          <w:p w:rsidR="00626D9B" w:rsidRPr="00626D9B" w:rsidRDefault="00626D9B" w:rsidP="00626D9B">
            <w:pPr>
              <w:spacing w:after="0" w:line="240" w:lineRule="auto"/>
              <w:jc w:val="center"/>
              <w:rPr>
                <w:rFonts w:ascii="Times New Roman" w:eastAsia="Times New Roman" w:hAnsi="Times New Roman" w:cs="Times New Roman"/>
                <w:sz w:val="20"/>
                <w:szCs w:val="20"/>
                <w:lang w:eastAsia="ru-RU"/>
              </w:rPr>
            </w:pPr>
            <w:r w:rsidRPr="00626D9B">
              <w:rPr>
                <w:rFonts w:ascii="Times New Roman" w:eastAsia="Times New Roman" w:hAnsi="Times New Roman" w:cs="Times New Roman"/>
                <w:sz w:val="20"/>
                <w:szCs w:val="20"/>
                <w:lang w:eastAsia="ru-RU"/>
              </w:rPr>
              <w:t> </w:t>
            </w:r>
          </w:p>
        </w:tc>
        <w:tc>
          <w:tcPr>
            <w:tcW w:w="1501" w:type="dxa"/>
            <w:tcMar>
              <w:top w:w="60" w:type="dxa"/>
              <w:left w:w="60" w:type="dxa"/>
              <w:bottom w:w="60" w:type="dxa"/>
              <w:right w:w="60" w:type="dxa"/>
            </w:tcMar>
          </w:tcPr>
          <w:p w:rsidR="00626D9B" w:rsidRPr="00626D9B" w:rsidRDefault="00626D9B" w:rsidP="00626D9B">
            <w:pPr>
              <w:spacing w:after="0" w:line="240" w:lineRule="auto"/>
              <w:jc w:val="center"/>
              <w:rPr>
                <w:rFonts w:ascii="Times New Roman" w:eastAsia="Times New Roman" w:hAnsi="Times New Roman" w:cs="Times New Roman"/>
                <w:sz w:val="20"/>
                <w:szCs w:val="20"/>
                <w:lang w:eastAsia="ru-RU"/>
              </w:rPr>
            </w:pPr>
            <w:r w:rsidRPr="00626D9B">
              <w:rPr>
                <w:rFonts w:ascii="Times New Roman" w:eastAsia="Times New Roman" w:hAnsi="Times New Roman" w:cs="Times New Roman"/>
                <w:sz w:val="20"/>
                <w:szCs w:val="20"/>
                <w:lang w:eastAsia="ru-RU"/>
              </w:rPr>
              <w:t>(дата)</w:t>
            </w:r>
          </w:p>
        </w:tc>
      </w:tr>
    </w:tbl>
    <w:p w:rsidR="004C666A" w:rsidRDefault="004C666A" w:rsidP="004C666A">
      <w:pPr>
        <w:spacing w:before="100" w:beforeAutospacing="1" w:after="100" w:afterAutospacing="1" w:line="240" w:lineRule="auto"/>
        <w:jc w:val="both"/>
        <w:rPr>
          <w:rFonts w:ascii="Times New Roman" w:eastAsia="Times New Roman" w:hAnsi="Times New Roman" w:cs="Times New Roman"/>
          <w:sz w:val="24"/>
          <w:szCs w:val="24"/>
          <w:lang w:val="en-US" w:eastAsia="uk-UA"/>
        </w:rPr>
      </w:pPr>
    </w:p>
    <w:p w:rsidR="00626D9B" w:rsidRDefault="00626D9B" w:rsidP="004C666A">
      <w:pPr>
        <w:spacing w:before="100" w:beforeAutospacing="1" w:after="100" w:afterAutospacing="1" w:line="240" w:lineRule="auto"/>
        <w:jc w:val="both"/>
        <w:rPr>
          <w:rFonts w:ascii="Times New Roman" w:eastAsia="Times New Roman" w:hAnsi="Times New Roman" w:cs="Times New Roman"/>
          <w:sz w:val="24"/>
          <w:szCs w:val="24"/>
          <w:lang w:val="en-US" w:eastAsia="uk-UA"/>
        </w:rPr>
      </w:pPr>
    </w:p>
    <w:p w:rsidR="00626D9B" w:rsidRPr="004C666A" w:rsidRDefault="00626D9B" w:rsidP="004C666A">
      <w:pPr>
        <w:spacing w:before="100" w:beforeAutospacing="1" w:after="100" w:afterAutospacing="1" w:line="240" w:lineRule="auto"/>
        <w:jc w:val="both"/>
        <w:rPr>
          <w:rFonts w:ascii="Times New Roman" w:eastAsia="Times New Roman" w:hAnsi="Times New Roman" w:cs="Times New Roman"/>
          <w:sz w:val="24"/>
          <w:szCs w:val="24"/>
          <w:lang w:val="en-US" w:eastAsia="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32"/>
      </w:tblGrid>
      <w:tr w:rsidR="004C666A" w:rsidRPr="004C666A" w:rsidTr="00FD70EF">
        <w:trPr>
          <w:tblCellSpacing w:w="22" w:type="dxa"/>
        </w:trPr>
        <w:tc>
          <w:tcPr>
            <w:tcW w:w="5000" w:type="pct"/>
          </w:tcPr>
          <w:p w:rsidR="004C666A" w:rsidRPr="004C666A" w:rsidRDefault="004C666A" w:rsidP="004C666A">
            <w:pPr>
              <w:spacing w:before="100" w:beforeAutospacing="1" w:after="100" w:afterAutospacing="1"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lastRenderedPageBreak/>
              <w:t>Додаток 7</w:t>
            </w:r>
            <w:r w:rsidRPr="004C666A">
              <w:rPr>
                <w:rFonts w:ascii="Times New Roman" w:eastAsia="Times New Roman" w:hAnsi="Times New Roman" w:cs="Times New Roman"/>
                <w:sz w:val="20"/>
                <w:szCs w:val="20"/>
                <w:lang w:val="uk-UA" w:eastAsia="uk-UA"/>
              </w:rPr>
              <w:br/>
              <w:t>до Положення про розкриття інформації емітентами цінних паперів</w:t>
            </w:r>
            <w:r w:rsidRPr="004C666A">
              <w:rPr>
                <w:rFonts w:ascii="Times New Roman" w:eastAsia="Times New Roman" w:hAnsi="Times New Roman" w:cs="Times New Roman"/>
                <w:sz w:val="20"/>
                <w:szCs w:val="20"/>
                <w:lang w:eastAsia="uk-UA"/>
              </w:rPr>
              <w:t xml:space="preserve"> </w:t>
            </w:r>
            <w:r w:rsidRPr="004C666A">
              <w:rPr>
                <w:rFonts w:ascii="Times New Roman" w:eastAsia="Times New Roman" w:hAnsi="Times New Roman" w:cs="Times New Roman"/>
                <w:sz w:val="20"/>
                <w:szCs w:val="20"/>
                <w:lang w:val="uk-UA" w:eastAsia="uk-UA"/>
              </w:rPr>
              <w:t>(пункти 8 - 10 глави 1 розділу III)</w:t>
            </w:r>
          </w:p>
        </w:tc>
      </w:tr>
    </w:tbl>
    <w:p w:rsidR="004C666A" w:rsidRPr="004C666A" w:rsidRDefault="004C666A" w:rsidP="004C666A">
      <w:pPr>
        <w:spacing w:before="100" w:beforeAutospacing="1" w:after="100" w:afterAutospacing="1" w:line="240" w:lineRule="auto"/>
        <w:jc w:val="center"/>
        <w:rPr>
          <w:rFonts w:ascii="Times New Roman" w:eastAsia="Times New Roman" w:hAnsi="Times New Roman" w:cs="Times New Roman"/>
          <w:b/>
          <w:bCs/>
          <w:sz w:val="24"/>
          <w:szCs w:val="24"/>
          <w:lang w:eastAsia="uk-UA"/>
        </w:rPr>
      </w:pPr>
      <w:r w:rsidRPr="004C666A">
        <w:rPr>
          <w:rFonts w:ascii="Times New Roman" w:eastAsia="Times New Roman" w:hAnsi="Times New Roman" w:cs="Times New Roman"/>
          <w:sz w:val="24"/>
          <w:szCs w:val="24"/>
          <w:lang w:val="uk-UA" w:eastAsia="uk-UA"/>
        </w:rPr>
        <w:br w:type="textWrapping" w:clear="all"/>
      </w:r>
      <w:r w:rsidRPr="004C666A">
        <w:rPr>
          <w:rFonts w:ascii="Times New Roman" w:eastAsia="Times New Roman" w:hAnsi="Times New Roman" w:cs="Times New Roman"/>
          <w:b/>
          <w:bCs/>
          <w:sz w:val="24"/>
          <w:szCs w:val="24"/>
          <w:lang w:eastAsia="uk-UA"/>
        </w:rPr>
        <w:t>2.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441"/>
        <w:gridCol w:w="463"/>
        <w:gridCol w:w="30"/>
        <w:gridCol w:w="530"/>
        <w:gridCol w:w="279"/>
        <w:gridCol w:w="573"/>
        <w:gridCol w:w="91"/>
        <w:gridCol w:w="280"/>
        <w:gridCol w:w="315"/>
        <w:gridCol w:w="45"/>
        <w:gridCol w:w="584"/>
        <w:gridCol w:w="280"/>
        <w:gridCol w:w="193"/>
        <w:gridCol w:w="247"/>
        <w:gridCol w:w="36"/>
        <w:gridCol w:w="1028"/>
        <w:gridCol w:w="240"/>
        <w:gridCol w:w="291"/>
        <w:gridCol w:w="384"/>
        <w:gridCol w:w="183"/>
        <w:gridCol w:w="407"/>
        <w:gridCol w:w="40"/>
        <w:gridCol w:w="403"/>
        <w:gridCol w:w="424"/>
        <w:gridCol w:w="343"/>
        <w:gridCol w:w="134"/>
        <w:gridCol w:w="160"/>
        <w:gridCol w:w="1501"/>
        <w:gridCol w:w="15"/>
      </w:tblGrid>
      <w:tr w:rsidR="004C666A" w:rsidRPr="004C666A" w:rsidTr="00FD70EF">
        <w:trPr>
          <w:trHeight w:val="397"/>
        </w:trPr>
        <w:tc>
          <w:tcPr>
            <w:tcW w:w="10800" w:type="dxa"/>
            <w:gridSpan w:val="30"/>
            <w:tcBorders>
              <w:bottom w:val="inset" w:sz="6" w:space="0" w:color="auto"/>
            </w:tcBorders>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uk-UA"/>
              </w:rPr>
            </w:pPr>
            <w:r w:rsidRPr="004C666A">
              <w:rPr>
                <w:rFonts w:ascii="Times New Roman" w:eastAsia="Times New Roman" w:hAnsi="Times New Roman" w:cs="Times New Roman"/>
                <w:sz w:val="24"/>
                <w:szCs w:val="24"/>
                <w:lang w:val="uk-UA" w:eastAsia="uk-UA"/>
              </w:rPr>
              <w:t>1. Причина повідомлення (відмітити потрібне):</w:t>
            </w:r>
          </w:p>
        </w:tc>
      </w:tr>
      <w:tr w:rsidR="004C666A" w:rsidRPr="004C666A" w:rsidTr="00FD70EF">
        <w:trPr>
          <w:trHeight w:val="686"/>
        </w:trPr>
        <w:tc>
          <w:tcPr>
            <w:tcW w:w="860" w:type="dxa"/>
            <w:tcBorders>
              <w:top w:val="inset" w:sz="6" w:space="0" w:color="auto"/>
              <w:left w:val="inset" w:sz="6" w:space="0" w:color="auto"/>
              <w:bottom w:val="nil"/>
              <w:right w:val="nil"/>
            </w:tcBorders>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b/>
                <w:sz w:val="28"/>
                <w:szCs w:val="28"/>
                <w:lang w:val="en-US" w:eastAsia="uk-UA"/>
              </w:rPr>
              <w:t>X</w:t>
            </w:r>
          </w:p>
        </w:tc>
        <w:tc>
          <w:tcPr>
            <w:tcW w:w="9940" w:type="dxa"/>
            <w:gridSpan w:val="29"/>
            <w:tcBorders>
              <w:top w:val="inset" w:sz="6" w:space="0" w:color="auto"/>
              <w:left w:val="nil"/>
              <w:bottom w:val="nil"/>
              <w:right w:val="outset" w:sz="6" w:space="0" w:color="auto"/>
            </w:tcBorders>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4C666A" w:rsidRPr="004C666A" w:rsidTr="00FD70EF">
        <w:trPr>
          <w:trHeight w:val="670"/>
        </w:trPr>
        <w:tc>
          <w:tcPr>
            <w:tcW w:w="860" w:type="dxa"/>
            <w:tcBorders>
              <w:top w:val="nil"/>
              <w:left w:val="inset" w:sz="6" w:space="0" w:color="auto"/>
              <w:bottom w:val="nil"/>
              <w:right w:val="nil"/>
            </w:tcBorders>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eastAsia="uk-UA"/>
              </w:rPr>
            </w:pPr>
            <w:r w:rsidRPr="004C666A">
              <w:rPr>
                <w:rFonts w:ascii="Times New Roman" w:eastAsia="Times New Roman" w:hAnsi="Times New Roman" w:cs="Times New Roman"/>
                <w:b/>
                <w:sz w:val="28"/>
                <w:szCs w:val="28"/>
                <w:lang w:eastAsia="uk-UA"/>
              </w:rPr>
              <w:t xml:space="preserve"> </w:t>
            </w:r>
          </w:p>
        </w:tc>
        <w:tc>
          <w:tcPr>
            <w:tcW w:w="9940" w:type="dxa"/>
            <w:gridSpan w:val="29"/>
            <w:tcBorders>
              <w:top w:val="nil"/>
              <w:left w:val="nil"/>
              <w:bottom w:val="nil"/>
              <w:right w:val="outset" w:sz="6" w:space="0" w:color="auto"/>
            </w:tcBorders>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4C666A" w:rsidRPr="004C666A" w:rsidTr="00FD70EF">
        <w:trPr>
          <w:trHeight w:val="964"/>
        </w:trPr>
        <w:tc>
          <w:tcPr>
            <w:tcW w:w="860" w:type="dxa"/>
            <w:tcBorders>
              <w:top w:val="nil"/>
              <w:left w:val="inset" w:sz="6" w:space="0" w:color="auto"/>
              <w:bottom w:val="outset" w:sz="6" w:space="0" w:color="auto"/>
              <w:right w:val="nil"/>
            </w:tcBorders>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eastAsia="uk-UA"/>
              </w:rPr>
            </w:pPr>
            <w:r w:rsidRPr="004C666A">
              <w:rPr>
                <w:rFonts w:ascii="Times New Roman" w:eastAsia="Times New Roman" w:hAnsi="Times New Roman" w:cs="Times New Roman"/>
                <w:b/>
                <w:sz w:val="28"/>
                <w:szCs w:val="28"/>
                <w:lang w:eastAsia="uk-UA"/>
              </w:rPr>
              <w:t xml:space="preserve"> </w:t>
            </w:r>
          </w:p>
        </w:tc>
        <w:tc>
          <w:tcPr>
            <w:tcW w:w="9940" w:type="dxa"/>
            <w:gridSpan w:val="29"/>
            <w:tcBorders>
              <w:top w:val="nil"/>
              <w:left w:val="nil"/>
              <w:bottom w:val="outset" w:sz="6" w:space="0" w:color="auto"/>
              <w:right w:val="outset" w:sz="6" w:space="0" w:color="auto"/>
            </w:tcBorders>
            <w:vAlign w:val="center"/>
          </w:tcPr>
          <w:p w:rsidR="004C666A" w:rsidRPr="004C666A" w:rsidRDefault="004C666A" w:rsidP="004C666A">
            <w:pPr>
              <w:spacing w:after="0" w:line="240" w:lineRule="auto"/>
              <w:jc w:val="both"/>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4C666A" w:rsidRPr="004C666A" w:rsidTr="00FD70EF">
        <w:trPr>
          <w:trHeight w:val="390"/>
        </w:trPr>
        <w:tc>
          <w:tcPr>
            <w:tcW w:w="10800" w:type="dxa"/>
            <w:gridSpan w:val="30"/>
            <w:tcBorders>
              <w:top w:val="outset" w:sz="6" w:space="0" w:color="auto"/>
            </w:tcBorders>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2. Відомості про особу, на яку поширюється обов’язок щодо подання повідомлення відповідно до статті 64</w:t>
            </w:r>
            <w:r w:rsidRPr="004C666A">
              <w:rPr>
                <w:rFonts w:ascii="Times New Roman" w:eastAsia="Times New Roman" w:hAnsi="Times New Roman" w:cs="Times New Roman"/>
                <w:sz w:val="24"/>
                <w:szCs w:val="24"/>
                <w:vertAlign w:val="superscript"/>
                <w:lang w:val="uk-UA" w:eastAsia="uk-UA"/>
              </w:rPr>
              <w:t>1</w:t>
            </w:r>
            <w:r w:rsidRPr="004C666A">
              <w:rPr>
                <w:rFonts w:ascii="Times New Roman" w:eastAsia="Times New Roman" w:hAnsi="Times New Roman" w:cs="Times New Roman"/>
                <w:sz w:val="24"/>
                <w:szCs w:val="24"/>
                <w:lang w:val="uk-UA" w:eastAsia="uk-UA"/>
              </w:rPr>
              <w:t xml:space="preserve"> Закону України «Про акціонерні товариства»:</w:t>
            </w:r>
            <w:r w:rsidRPr="004C666A">
              <w:rPr>
                <w:rFonts w:ascii="Times New Roman" w:eastAsia="Times New Roman" w:hAnsi="Times New Roman" w:cs="Times New Roman"/>
                <w:sz w:val="24"/>
                <w:szCs w:val="24"/>
                <w:vertAlign w:val="superscript"/>
                <w:lang w:val="uk-UA" w:eastAsia="uk-UA"/>
              </w:rPr>
              <w:t xml:space="preserve"> </w:t>
            </w:r>
          </w:p>
        </w:tc>
      </w:tr>
      <w:tr w:rsidR="004C666A" w:rsidRPr="004C666A" w:rsidTr="00FD70EF">
        <w:trPr>
          <w:trHeight w:val="390"/>
        </w:trPr>
        <w:tc>
          <w:tcPr>
            <w:tcW w:w="10800" w:type="dxa"/>
            <w:gridSpan w:val="30"/>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2.1. Щодо фізичної особи - прізвище, ім’я, по батькові (за наявності): </w:t>
            </w:r>
            <w:r w:rsidRPr="004C666A">
              <w:rPr>
                <w:rFonts w:ascii="Times New Roman" w:eastAsia="Times New Roman" w:hAnsi="Times New Roman" w:cs="Times New Roman"/>
                <w:sz w:val="20"/>
                <w:szCs w:val="20"/>
                <w:lang w:eastAsia="uk-UA"/>
              </w:rPr>
              <w:t>Титенко Микола Васильович</w:t>
            </w:r>
          </w:p>
        </w:tc>
      </w:tr>
      <w:tr w:rsidR="004C666A" w:rsidRPr="004C666A" w:rsidTr="00FD70EF">
        <w:trPr>
          <w:trHeight w:val="920"/>
        </w:trPr>
        <w:tc>
          <w:tcPr>
            <w:tcW w:w="2324" w:type="dxa"/>
            <w:gridSpan w:val="5"/>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2.2. Щодо юридичної особи:</w:t>
            </w:r>
          </w:p>
        </w:tc>
        <w:tc>
          <w:tcPr>
            <w:tcW w:w="2167"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Найменування</w:t>
            </w:r>
          </w:p>
        </w:tc>
        <w:tc>
          <w:tcPr>
            <w:tcW w:w="3732" w:type="dxa"/>
            <w:gridSpan w:val="12"/>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77" w:type="dxa"/>
            <w:gridSpan w:val="6"/>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Місцезнаходження</w:t>
            </w:r>
          </w:p>
        </w:tc>
      </w:tr>
      <w:tr w:rsidR="004C666A" w:rsidRPr="004C666A" w:rsidTr="00FD70EF">
        <w:trPr>
          <w:trHeight w:val="919"/>
        </w:trPr>
        <w:tc>
          <w:tcPr>
            <w:tcW w:w="2324" w:type="dxa"/>
            <w:gridSpan w:val="5"/>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2167"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3732" w:type="dxa"/>
            <w:gridSpan w:val="12"/>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2577" w:type="dxa"/>
            <w:gridSpan w:val="6"/>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val="en-US" w:eastAsia="uk-UA"/>
              </w:rPr>
              <w:t xml:space="preserve"> </w:t>
            </w:r>
          </w:p>
        </w:tc>
      </w:tr>
      <w:tr w:rsidR="004C666A" w:rsidRPr="004C666A" w:rsidTr="00FD70EF">
        <w:trPr>
          <w:trHeight w:val="419"/>
        </w:trPr>
        <w:tc>
          <w:tcPr>
            <w:tcW w:w="10800" w:type="dxa"/>
            <w:gridSpan w:val="30"/>
            <w:vAlign w:val="center"/>
          </w:tcPr>
          <w:p w:rsidR="004C666A" w:rsidRPr="004C666A" w:rsidRDefault="004C666A" w:rsidP="004C666A">
            <w:pPr>
              <w:spacing w:after="0" w:line="240" w:lineRule="auto"/>
              <w:rPr>
                <w:rFonts w:ascii="Times New Roman" w:eastAsia="Times New Roman" w:hAnsi="Times New Roman" w:cs="Times New Roman"/>
                <w:sz w:val="24"/>
                <w:szCs w:val="24"/>
                <w:lang w:eastAsia="uk-UA"/>
              </w:rPr>
            </w:pPr>
            <w:r w:rsidRPr="004C666A">
              <w:rPr>
                <w:rFonts w:ascii="Times New Roman" w:eastAsia="Times New Roman" w:hAnsi="Times New Roman" w:cs="Times New Roman"/>
                <w:sz w:val="24"/>
                <w:szCs w:val="24"/>
                <w:lang w:val="uk-UA" w:eastAsia="uk-UA"/>
              </w:rPr>
              <w:t>3. Дата, коли порогове значення було досягнуто або перетнуто</w:t>
            </w:r>
            <w:r w:rsidRPr="004C666A">
              <w:rPr>
                <w:rFonts w:ascii="Times New Roman" w:eastAsia="Times New Roman" w:hAnsi="Times New Roman" w:cs="Times New Roman"/>
                <w:sz w:val="24"/>
                <w:szCs w:val="24"/>
                <w:lang w:eastAsia="uk-UA"/>
              </w:rPr>
              <w:t xml:space="preserve">  21.06.2023</w:t>
            </w:r>
          </w:p>
        </w:tc>
      </w:tr>
      <w:tr w:rsidR="004C666A" w:rsidRPr="004C666A" w:rsidTr="00FD70EF">
        <w:trPr>
          <w:trHeight w:val="555"/>
        </w:trPr>
        <w:tc>
          <w:tcPr>
            <w:tcW w:w="1764" w:type="dxa"/>
            <w:gridSpan w:val="3"/>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4. Результат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503"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 xml:space="preserve">Розмір пакета голосуючих акцій (у відсотках) (показник останньої колонки таблиці пункту 5) </w:t>
            </w:r>
          </w:p>
        </w:tc>
        <w:tc>
          <w:tcPr>
            <w:tcW w:w="1504"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 (у відсотках) (показник останньої колонки таблиці пункту 6)</w:t>
            </w:r>
          </w:p>
        </w:tc>
        <w:tc>
          <w:tcPr>
            <w:tcW w:w="1504" w:type="dxa"/>
            <w:gridSpan w:val="4"/>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іншими цінними паперами (у відсотках) (за наявності)</w:t>
            </w:r>
          </w:p>
        </w:tc>
        <w:tc>
          <w:tcPr>
            <w:tcW w:w="1505"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 пов’язаних із фінансовими інструментами (у відсотках) (сума показників останньої колонки таблиць 7.1 та 7.2)</w:t>
            </w:r>
          </w:p>
        </w:tc>
        <w:tc>
          <w:tcPr>
            <w:tcW w:w="1504" w:type="dxa"/>
            <w:gridSpan w:val="6"/>
            <w:vAlign w:val="center"/>
          </w:tcPr>
          <w:p w:rsidR="004C666A" w:rsidRPr="004C666A" w:rsidRDefault="004C666A" w:rsidP="004C666A">
            <w:pPr>
              <w:tabs>
                <w:tab w:val="left" w:pos="10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Усього (сума показників, зазначених у графах 2, 4, 5 цієї таблиці)</w:t>
            </w:r>
          </w:p>
        </w:tc>
        <w:tc>
          <w:tcPr>
            <w:tcW w:w="1516"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Загальна кількість голосуючих акцій емітента станом на останню дату складення реєстру власників акцій (шт.)</w:t>
            </w:r>
            <w:bookmarkStart w:id="1" w:name="8928"/>
            <w:bookmarkEnd w:id="1"/>
          </w:p>
        </w:tc>
      </w:tr>
      <w:tr w:rsidR="004C666A" w:rsidRPr="004C666A" w:rsidTr="00FD70EF">
        <w:trPr>
          <w:trHeight w:val="555"/>
        </w:trPr>
        <w:tc>
          <w:tcPr>
            <w:tcW w:w="1764" w:type="dxa"/>
            <w:gridSpan w:val="3"/>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1</w:t>
            </w:r>
          </w:p>
        </w:tc>
        <w:tc>
          <w:tcPr>
            <w:tcW w:w="1503" w:type="dxa"/>
            <w:gridSpan w:val="5"/>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2</w:t>
            </w:r>
          </w:p>
        </w:tc>
        <w:tc>
          <w:tcPr>
            <w:tcW w:w="1504" w:type="dxa"/>
            <w:gridSpan w:val="5"/>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3</w:t>
            </w:r>
          </w:p>
        </w:tc>
        <w:tc>
          <w:tcPr>
            <w:tcW w:w="1504" w:type="dxa"/>
            <w:gridSpan w:val="4"/>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en-US" w:eastAsia="uk-UA"/>
              </w:rPr>
            </w:pPr>
            <w:r w:rsidRPr="004C666A">
              <w:rPr>
                <w:rFonts w:ascii="Times New Roman" w:eastAsia="Times New Roman" w:hAnsi="Times New Roman" w:cs="Times New Roman"/>
                <w:sz w:val="24"/>
                <w:szCs w:val="24"/>
                <w:lang w:val="en-US" w:eastAsia="uk-UA"/>
              </w:rPr>
              <w:t>4</w:t>
            </w:r>
          </w:p>
        </w:tc>
        <w:tc>
          <w:tcPr>
            <w:tcW w:w="1505" w:type="dxa"/>
            <w:gridSpan w:val="5"/>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en-US" w:eastAsia="uk-UA"/>
              </w:rPr>
            </w:pPr>
            <w:r w:rsidRPr="004C666A">
              <w:rPr>
                <w:rFonts w:ascii="Times New Roman" w:eastAsia="Times New Roman" w:hAnsi="Times New Roman" w:cs="Times New Roman"/>
                <w:sz w:val="24"/>
                <w:szCs w:val="24"/>
                <w:lang w:val="en-US" w:eastAsia="uk-UA"/>
              </w:rPr>
              <w:t>5</w:t>
            </w:r>
          </w:p>
        </w:tc>
        <w:tc>
          <w:tcPr>
            <w:tcW w:w="1504" w:type="dxa"/>
            <w:gridSpan w:val="6"/>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en-US" w:eastAsia="uk-UA"/>
              </w:rPr>
              <w:t>6</w:t>
            </w:r>
          </w:p>
        </w:tc>
        <w:tc>
          <w:tcPr>
            <w:tcW w:w="1516" w:type="dxa"/>
            <w:gridSpan w:val="2"/>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en-US" w:eastAsia="uk-UA"/>
              </w:rPr>
            </w:pPr>
            <w:r w:rsidRPr="004C666A">
              <w:rPr>
                <w:rFonts w:ascii="Times New Roman" w:eastAsia="Times New Roman" w:hAnsi="Times New Roman" w:cs="Times New Roman"/>
                <w:sz w:val="24"/>
                <w:szCs w:val="24"/>
                <w:lang w:val="en-US" w:eastAsia="uk-UA"/>
              </w:rPr>
              <w:t>7</w:t>
            </w:r>
          </w:p>
        </w:tc>
      </w:tr>
      <w:tr w:rsidR="004C666A" w:rsidRPr="004C666A" w:rsidTr="00FD70EF">
        <w:trPr>
          <w:trHeight w:val="555"/>
        </w:trPr>
        <w:tc>
          <w:tcPr>
            <w:tcW w:w="1764" w:type="dxa"/>
            <w:gridSpan w:val="3"/>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на дату, коли порогове значення було досягнуто або перетнуто</w:t>
            </w:r>
          </w:p>
        </w:tc>
        <w:tc>
          <w:tcPr>
            <w:tcW w:w="150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eastAsia="uk-UA"/>
              </w:rPr>
              <w:t xml:space="preserve"> </w:t>
            </w:r>
            <w:r w:rsidR="00626D9B">
              <w:rPr>
                <w:rFonts w:ascii="Times New Roman" w:eastAsia="Times New Roman" w:hAnsi="Times New Roman" w:cs="Times New Roman"/>
                <w:sz w:val="20"/>
                <w:szCs w:val="20"/>
                <w:lang w:val="en-US" w:eastAsia="uk-UA"/>
              </w:rPr>
              <w:t>0</w:t>
            </w:r>
          </w:p>
        </w:tc>
        <w:tc>
          <w:tcPr>
            <w:tcW w:w="15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5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5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50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eastAsia="uk-UA"/>
              </w:rPr>
              <w:t xml:space="preserve"> </w:t>
            </w:r>
            <w:r w:rsidR="00626D9B">
              <w:rPr>
                <w:rFonts w:ascii="Times New Roman" w:eastAsia="Times New Roman" w:hAnsi="Times New Roman" w:cs="Times New Roman"/>
                <w:sz w:val="20"/>
                <w:szCs w:val="20"/>
                <w:lang w:val="en-US" w:eastAsia="uk-UA"/>
              </w:rPr>
              <w:t>0</w:t>
            </w:r>
          </w:p>
        </w:tc>
        <w:tc>
          <w:tcPr>
            <w:tcW w:w="1516"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5110</w:t>
            </w:r>
          </w:p>
        </w:tc>
      </w:tr>
      <w:tr w:rsidR="004C666A" w:rsidRPr="004C666A" w:rsidTr="00FD70EF">
        <w:trPr>
          <w:gridAfter w:val="1"/>
          <w:wAfter w:w="15" w:type="dxa"/>
          <w:trHeight w:val="555"/>
        </w:trPr>
        <w:tc>
          <w:tcPr>
            <w:tcW w:w="1764" w:type="dxa"/>
            <w:gridSpan w:val="3"/>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дані попереднього повідомлення  (за наявності)</w:t>
            </w:r>
          </w:p>
        </w:tc>
        <w:tc>
          <w:tcPr>
            <w:tcW w:w="150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100</w:t>
            </w:r>
          </w:p>
        </w:tc>
        <w:tc>
          <w:tcPr>
            <w:tcW w:w="15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15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15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150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100</w:t>
            </w:r>
          </w:p>
        </w:tc>
        <w:tc>
          <w:tcPr>
            <w:tcW w:w="1501" w:type="dxa"/>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5110</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5. Детально про зміну акціонерів, яким належать голосуючі акції, розмір пакета яких стає більшим, меншим або рівним пороговому значенню пакета акцій</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Розмір пакета голосуючих акцій на дату, коли порогове значення було досягнуто або перетнуто</w:t>
            </w:r>
          </w:p>
        </w:tc>
      </w:tr>
      <w:tr w:rsidR="004C666A" w:rsidRPr="004C666A" w:rsidTr="00FD70EF">
        <w:trPr>
          <w:gridAfter w:val="1"/>
          <w:wAfter w:w="15" w:type="dxa"/>
          <w:trHeight w:val="554"/>
        </w:trPr>
        <w:tc>
          <w:tcPr>
            <w:tcW w:w="1794" w:type="dxa"/>
            <w:gridSpan w:val="4"/>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lastRenderedPageBreak/>
              <w:t>Клас і тип акцій</w:t>
            </w:r>
          </w:p>
        </w:tc>
        <w:tc>
          <w:tcPr>
            <w:tcW w:w="2068"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Міжнародний ідентифікаційний номер цінних паперів</w:t>
            </w: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1800"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голосуючих акцій (шт.)</w:t>
            </w:r>
          </w:p>
        </w:tc>
        <w:tc>
          <w:tcPr>
            <w:tcW w:w="1795" w:type="dxa"/>
            <w:gridSpan w:val="3"/>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Розмір пакета голосуючих акцій (у відсотках)</w:t>
            </w:r>
          </w:p>
        </w:tc>
      </w:tr>
      <w:tr w:rsidR="004C666A" w:rsidRPr="004C666A" w:rsidTr="00FD70EF">
        <w:trPr>
          <w:gridAfter w:val="1"/>
          <w:wAfter w:w="15" w:type="dxa"/>
          <w:trHeight w:val="554"/>
        </w:trPr>
        <w:tc>
          <w:tcPr>
            <w:tcW w:w="1794" w:type="dxa"/>
            <w:gridSpan w:val="4"/>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c>
          <w:tcPr>
            <w:tcW w:w="2068"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Володіння (пряме або опосередковане)</w:t>
            </w:r>
          </w:p>
        </w:tc>
        <w:tc>
          <w:tcPr>
            <w:tcW w:w="1800"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c>
          <w:tcPr>
            <w:tcW w:w="1795" w:type="dxa"/>
            <w:gridSpan w:val="3"/>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r>
      <w:tr w:rsidR="004C666A" w:rsidRPr="004C666A" w:rsidTr="00FD70EF">
        <w:trPr>
          <w:gridAfter w:val="1"/>
          <w:wAfter w:w="15" w:type="dxa"/>
          <w:trHeight w:val="385"/>
        </w:trPr>
        <w:tc>
          <w:tcPr>
            <w:tcW w:w="1794" w:type="dxa"/>
            <w:gridSpan w:val="4"/>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Прості іменні</w:t>
            </w:r>
          </w:p>
        </w:tc>
        <w:tc>
          <w:tcPr>
            <w:tcW w:w="2068"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UA4000131890</w:t>
            </w: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2 – відчуження</w:t>
            </w:r>
          </w:p>
        </w:tc>
        <w:tc>
          <w:tcPr>
            <w:tcW w:w="1800"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r w:rsidR="00626D9B">
              <w:rPr>
                <w:rFonts w:ascii="Times New Roman" w:eastAsia="Times New Roman" w:hAnsi="Times New Roman" w:cs="Times New Roman"/>
                <w:sz w:val="20"/>
                <w:szCs w:val="20"/>
                <w:lang w:val="en-US" w:eastAsia="uk-UA"/>
              </w:rPr>
              <w:t>0</w:t>
            </w:r>
          </w:p>
        </w:tc>
        <w:tc>
          <w:tcPr>
            <w:tcW w:w="1795" w:type="dxa"/>
            <w:gridSpan w:val="3"/>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r w:rsidR="00626D9B">
              <w:rPr>
                <w:rFonts w:ascii="Times New Roman" w:eastAsia="Times New Roman" w:hAnsi="Times New Roman" w:cs="Times New Roman"/>
                <w:sz w:val="20"/>
                <w:szCs w:val="20"/>
                <w:lang w:val="en-US" w:eastAsia="uk-UA"/>
              </w:rPr>
              <w:t>0</w:t>
            </w:r>
          </w:p>
        </w:tc>
      </w:tr>
      <w:tr w:rsidR="004C666A" w:rsidRPr="004C666A" w:rsidTr="00FD70EF">
        <w:trPr>
          <w:gridAfter w:val="1"/>
          <w:wAfter w:w="15" w:type="dxa"/>
          <w:trHeight w:val="385"/>
        </w:trPr>
        <w:tc>
          <w:tcPr>
            <w:tcW w:w="1794" w:type="dxa"/>
            <w:gridSpan w:val="4"/>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c>
          <w:tcPr>
            <w:tcW w:w="2068"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 – пряме</w:t>
            </w:r>
          </w:p>
        </w:tc>
        <w:tc>
          <w:tcPr>
            <w:tcW w:w="1800"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c>
          <w:tcPr>
            <w:tcW w:w="1795" w:type="dxa"/>
            <w:gridSpan w:val="3"/>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Розмір прав за акціями на дату, коли порогове значення було досягнуто або перетнуто</w:t>
            </w:r>
          </w:p>
        </w:tc>
      </w:tr>
      <w:tr w:rsidR="004C666A" w:rsidRPr="004C666A" w:rsidTr="00FD70EF">
        <w:trPr>
          <w:gridAfter w:val="1"/>
          <w:wAfter w:w="15" w:type="dxa"/>
          <w:trHeight w:val="1118"/>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Клас і тип акцій</w:t>
            </w:r>
          </w:p>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Міжнародний ідентифікаційний номер цінних паперів</w:t>
            </w:r>
          </w:p>
        </w:tc>
        <w:tc>
          <w:tcPr>
            <w:tcW w:w="166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2162"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 xml:space="preserve">Один із випадків, передбачених частиною дев’ятою статті </w:t>
            </w:r>
            <w:r w:rsidRPr="004C666A">
              <w:rPr>
                <w:rFonts w:ascii="Times New Roman" w:eastAsia="Times New Roman" w:hAnsi="Times New Roman" w:cs="Times New Roman"/>
                <w:sz w:val="24"/>
                <w:szCs w:val="24"/>
                <w:lang w:val="uk-UA" w:eastAsia="uk-UA"/>
              </w:rPr>
              <w:t>64</w:t>
            </w:r>
            <w:r w:rsidRPr="004C666A">
              <w:rPr>
                <w:rFonts w:ascii="Times New Roman" w:eastAsia="Times New Roman" w:hAnsi="Times New Roman" w:cs="Times New Roman"/>
                <w:sz w:val="24"/>
                <w:szCs w:val="24"/>
                <w:vertAlign w:val="superscript"/>
                <w:lang w:val="uk-UA" w:eastAsia="uk-UA"/>
              </w:rPr>
              <w:t>1</w:t>
            </w:r>
            <w:r w:rsidRPr="004C666A">
              <w:rPr>
                <w:rFonts w:ascii="Times New Roman" w:eastAsia="Times New Roman" w:hAnsi="Times New Roman" w:cs="Times New Roman"/>
                <w:sz w:val="20"/>
                <w:szCs w:val="20"/>
                <w:lang w:val="uk-UA" w:eastAsia="uk-UA"/>
              </w:rPr>
              <w:t xml:space="preserve"> Закону України «Про акціонерні товариства»</w:t>
            </w:r>
          </w:p>
        </w:tc>
        <w:tc>
          <w:tcPr>
            <w:tcW w:w="1617"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голосів (шт.)</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Розмір прав голосу за акціями (у відсотках)</w:t>
            </w:r>
          </w:p>
        </w:tc>
      </w:tr>
      <w:tr w:rsidR="004C666A" w:rsidRPr="004C666A" w:rsidTr="00FD70EF">
        <w:trPr>
          <w:gridAfter w:val="1"/>
          <w:wAfter w:w="15" w:type="dxa"/>
          <w:trHeight w:val="555"/>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66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2162"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617"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7.1. Розмір прав за акціями на дату, коли порогове значення було досягнуто або перетнуто, стосовно фінансових інструментів, що на дату їх виконання надають своєму власнику право набути голосуючі акції шляхом їх поставки</w:t>
            </w:r>
          </w:p>
        </w:tc>
      </w:tr>
      <w:tr w:rsidR="004C666A" w:rsidRPr="004C666A" w:rsidTr="00FD70EF">
        <w:trPr>
          <w:gridAfter w:val="1"/>
          <w:wAfter w:w="15" w:type="dxa"/>
          <w:trHeight w:val="1118"/>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Тип фінансового інструмента</w:t>
            </w:r>
          </w:p>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Дата виконання</w:t>
            </w:r>
          </w:p>
        </w:tc>
        <w:tc>
          <w:tcPr>
            <w:tcW w:w="1700"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1943"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Володіння (пряме або опосередковане)</w:t>
            </w:r>
          </w:p>
        </w:tc>
        <w:tc>
          <w:tcPr>
            <w:tcW w:w="1800"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голосуючих акцій, які можуть бути набуті у разі виконання фінансових інструментів (шт.)</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Сумарна кількість прав за акціями (у відсотках)</w:t>
            </w:r>
          </w:p>
        </w:tc>
      </w:tr>
      <w:tr w:rsidR="004C666A" w:rsidRPr="004C666A" w:rsidTr="00FD70EF">
        <w:trPr>
          <w:gridAfter w:val="1"/>
          <w:wAfter w:w="15" w:type="dxa"/>
          <w:trHeight w:val="555"/>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700"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943"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800"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7.2.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p>
        </w:tc>
      </w:tr>
      <w:tr w:rsidR="004C666A" w:rsidRPr="004C666A" w:rsidTr="00FD70EF">
        <w:trPr>
          <w:gridAfter w:val="1"/>
          <w:wAfter w:w="15" w:type="dxa"/>
          <w:trHeight w:val="1118"/>
        </w:trPr>
        <w:tc>
          <w:tcPr>
            <w:tcW w:w="130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Тип фінансового інструмента</w:t>
            </w:r>
          </w:p>
        </w:tc>
        <w:tc>
          <w:tcPr>
            <w:tcW w:w="1302"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Дата виконання</w:t>
            </w:r>
          </w:p>
        </w:tc>
        <w:tc>
          <w:tcPr>
            <w:tcW w:w="13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Базовий актив (акції або право голосу)</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1304"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Володіння (пряме або опосеред-коване)</w:t>
            </w:r>
          </w:p>
        </w:tc>
        <w:tc>
          <w:tcPr>
            <w:tcW w:w="13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Розрахунок (грошовий або право голосу)</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голосів (шт.)</w:t>
            </w:r>
          </w:p>
        </w:tc>
        <w:tc>
          <w:tcPr>
            <w:tcW w:w="166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Сумарна кількість прав за акціями (у відсотках)</w:t>
            </w:r>
          </w:p>
        </w:tc>
      </w:tr>
      <w:tr w:rsidR="004C666A" w:rsidRPr="004C666A" w:rsidTr="00FD70EF">
        <w:trPr>
          <w:gridAfter w:val="1"/>
          <w:wAfter w:w="15" w:type="dxa"/>
          <w:trHeight w:val="533"/>
        </w:trPr>
        <w:tc>
          <w:tcPr>
            <w:tcW w:w="130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2"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66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r>
      <w:tr w:rsidR="004C666A" w:rsidRPr="004C666A" w:rsidTr="00FD70EF">
        <w:trPr>
          <w:gridAfter w:val="1"/>
          <w:wAfter w:w="15" w:type="dxa"/>
          <w:trHeight w:val="643"/>
        </w:trPr>
        <w:tc>
          <w:tcPr>
            <w:tcW w:w="10785" w:type="dxa"/>
            <w:gridSpan w:val="29"/>
          </w:tcPr>
          <w:p w:rsidR="004C666A" w:rsidRPr="004C666A" w:rsidRDefault="004C666A" w:rsidP="004C666A">
            <w:pPr>
              <w:spacing w:after="0" w:line="240" w:lineRule="auto"/>
              <w:rPr>
                <w:rFonts w:ascii="Times New Roman" w:eastAsia="Times New Roman" w:hAnsi="Times New Roman" w:cs="Times New Roman"/>
                <w:b/>
                <w:sz w:val="24"/>
                <w:szCs w:val="24"/>
                <w:lang w:val="uk-UA" w:eastAsia="uk-UA"/>
              </w:rPr>
            </w:pPr>
            <w:r w:rsidRPr="004C666A">
              <w:rPr>
                <w:rFonts w:ascii="Times New Roman" w:eastAsia="Times New Roman" w:hAnsi="Times New Roman" w:cs="Times New Roman"/>
                <w:sz w:val="24"/>
                <w:szCs w:val="24"/>
                <w:lang w:val="uk-UA" w:eastAsia="uk-UA"/>
              </w:rPr>
              <w:t>8.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4C666A" w:rsidRPr="004C666A" w:rsidTr="00FD70EF">
        <w:trPr>
          <w:gridAfter w:val="1"/>
          <w:wAfter w:w="15" w:type="dxa"/>
          <w:trHeight w:val="896"/>
        </w:trPr>
        <w:tc>
          <w:tcPr>
            <w:tcW w:w="3176"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 xml:space="preserve">Прізвище, ім'я, по батькові фізичної особи або  найменування юридичної особи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788" w:type="dxa"/>
            <w:gridSpan w:val="7"/>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Розмір пакета голосуючих акцій (у відсотках)**</w:t>
            </w:r>
          </w:p>
        </w:tc>
        <w:tc>
          <w:tcPr>
            <w:tcW w:w="1842" w:type="dxa"/>
            <w:gridSpan w:val="5"/>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(у відсотках)**</w:t>
            </w:r>
          </w:p>
        </w:tc>
        <w:tc>
          <w:tcPr>
            <w:tcW w:w="1841" w:type="dxa"/>
            <w:gridSpan w:val="6"/>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 пов’язаних із фінансовими інструментами (у відсотках)**</w:t>
            </w:r>
          </w:p>
        </w:tc>
        <w:tc>
          <w:tcPr>
            <w:tcW w:w="2138" w:type="dxa"/>
            <w:gridSpan w:val="4"/>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Усього</w:t>
            </w:r>
          </w:p>
        </w:tc>
      </w:tr>
      <w:tr w:rsidR="004C666A" w:rsidRPr="004C666A" w:rsidTr="00FD70EF">
        <w:trPr>
          <w:gridAfter w:val="1"/>
          <w:wAfter w:w="15" w:type="dxa"/>
          <w:trHeight w:val="539"/>
        </w:trPr>
        <w:tc>
          <w:tcPr>
            <w:tcW w:w="3176"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Ідентифікаційний код юридичної особи</w:t>
            </w:r>
          </w:p>
        </w:tc>
        <w:tc>
          <w:tcPr>
            <w:tcW w:w="1788" w:type="dxa"/>
            <w:gridSpan w:val="7"/>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2" w:type="dxa"/>
            <w:gridSpan w:val="5"/>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1" w:type="dxa"/>
            <w:gridSpan w:val="6"/>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2138" w:type="dxa"/>
            <w:gridSpan w:val="4"/>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r>
      <w:tr w:rsidR="004C666A" w:rsidRPr="004C666A" w:rsidTr="00FD70EF">
        <w:trPr>
          <w:gridAfter w:val="1"/>
          <w:wAfter w:w="15" w:type="dxa"/>
          <w:trHeight w:val="405"/>
        </w:trPr>
        <w:tc>
          <w:tcPr>
            <w:tcW w:w="3176"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788"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2"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1" w:type="dxa"/>
            <w:gridSpan w:val="6"/>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2138" w:type="dxa"/>
            <w:gridSpan w:val="4"/>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r>
      <w:tr w:rsidR="004C666A" w:rsidRPr="004C666A" w:rsidTr="00FD70EF">
        <w:trPr>
          <w:gridAfter w:val="1"/>
          <w:wAfter w:w="15" w:type="dxa"/>
          <w:trHeight w:val="694"/>
        </w:trPr>
        <w:tc>
          <w:tcPr>
            <w:tcW w:w="10785" w:type="dxa"/>
            <w:gridSpan w:val="29"/>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9. У випадку голосування на підставі отриманої довіреності зазначаються:</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прізвище, ім'я, по батькові фізичної особи або  найменування та ідентифікаційний код юридичної особи – довірителя :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кількість голосів (шт.) : </w:t>
            </w:r>
            <w:r w:rsidRPr="004C666A">
              <w:rPr>
                <w:rFonts w:ascii="Times New Roman" w:eastAsia="Times New Roman" w:hAnsi="Times New Roman" w:cs="Times New Roman"/>
                <w:sz w:val="24"/>
                <w:szCs w:val="24"/>
                <w:lang w:eastAsia="uk-UA"/>
              </w:rPr>
              <w:t xml:space="preserve">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розмір прав голосу (у відсотках): </w:t>
            </w:r>
            <w:r w:rsidRPr="004C666A">
              <w:rPr>
                <w:rFonts w:ascii="Times New Roman" w:eastAsia="Times New Roman" w:hAnsi="Times New Roman" w:cs="Times New Roman"/>
                <w:sz w:val="24"/>
                <w:szCs w:val="24"/>
                <w:lang w:eastAsia="uk-UA"/>
              </w:rPr>
              <w:t xml:space="preserve">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uk-UA"/>
              </w:rPr>
            </w:pPr>
            <w:r w:rsidRPr="004C666A">
              <w:rPr>
                <w:rFonts w:ascii="Times New Roman" w:eastAsia="Times New Roman" w:hAnsi="Times New Roman" w:cs="Times New Roman"/>
                <w:sz w:val="24"/>
                <w:szCs w:val="24"/>
                <w:lang w:val="uk-UA" w:eastAsia="uk-UA"/>
              </w:rPr>
              <w:t>дата закінчення строку довіреності :</w:t>
            </w:r>
            <w:r w:rsidRPr="004C666A">
              <w:rPr>
                <w:rFonts w:ascii="Times New Roman" w:eastAsia="Times New Roman" w:hAnsi="Times New Roman" w:cs="Times New Roman"/>
                <w:sz w:val="24"/>
                <w:szCs w:val="24"/>
                <w:lang w:eastAsia="uk-UA"/>
              </w:rPr>
              <w:t xml:space="preserve"> </w:t>
            </w:r>
            <w:r w:rsidRPr="004C666A">
              <w:rPr>
                <w:rFonts w:ascii="Times New Roman" w:eastAsia="Times New Roman" w:hAnsi="Times New Roman" w:cs="Times New Roman"/>
                <w:sz w:val="24"/>
                <w:szCs w:val="24"/>
                <w:lang w:val="en-US" w:eastAsia="uk-UA"/>
              </w:rPr>
              <w:t xml:space="preserve"> </w:t>
            </w:r>
          </w:p>
        </w:tc>
      </w:tr>
      <w:tr w:rsidR="004C666A" w:rsidRPr="004C666A" w:rsidTr="00FD70EF">
        <w:trPr>
          <w:gridAfter w:val="1"/>
          <w:wAfter w:w="15" w:type="dxa"/>
          <w:trHeight w:val="384"/>
        </w:trPr>
        <w:tc>
          <w:tcPr>
            <w:tcW w:w="10785" w:type="dxa"/>
            <w:gridSpan w:val="29"/>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10. Додаткова інформація, необхідна для повного і точного розкриття інформації про дію:</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lastRenderedPageBreak/>
              <w:t>26.06.2023 року ПрАТ "Рівнеавтошляхбуд" надійшло повідомлення від Титенко Миколи Васильовича про відчуження ним пакета простих іменних акцій акціонерного товариства, емітентом яких є Приватне акціонерне товариство "Рівнеавтошляхбуд" у кількості 5 110 (п'ять тисяч сто десять) штук, що складає 100% Статутного капіталу емітента. Дата відчуження пакета акцій ПрАТ "Рівнеавтошляхбуд" - 21 червня 2023 року. Емітенту невідомі в</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домост</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 xml:space="preserve"> про ос</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б, як</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 xml:space="preserve"> входять до ланцюга волод</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ння корпоративними правами юридичної особи, через яких особа зд</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йснює розпорядження акц</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ями.</w:t>
            </w:r>
          </w:p>
        </w:tc>
      </w:tr>
    </w:tbl>
    <w:p w:rsidR="004C666A" w:rsidRPr="004C666A" w:rsidRDefault="004C666A" w:rsidP="004C666A">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4C666A" w:rsidRPr="004C666A" w:rsidRDefault="004C666A" w:rsidP="004C666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 Не враховується право голосу за акціями, якими володіє акціонер. </w:t>
      </w:r>
    </w:p>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Якщо розмір дорівнює або перевищує порогове значення.</w:t>
      </w:r>
    </w:p>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p>
    <w:p w:rsidR="004C666A" w:rsidRPr="004C666A" w:rsidRDefault="004C666A" w:rsidP="004C666A">
      <w:pPr>
        <w:spacing w:before="100" w:beforeAutospacing="1" w:after="100" w:afterAutospacing="1" w:line="240" w:lineRule="auto"/>
        <w:jc w:val="both"/>
        <w:rPr>
          <w:rFonts w:ascii="Times New Roman" w:eastAsia="Times New Roman" w:hAnsi="Times New Roman" w:cs="Times New Roman"/>
          <w:sz w:val="24"/>
          <w:szCs w:val="24"/>
          <w:lang w:val="uk-UA" w:eastAsia="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32"/>
      </w:tblGrid>
      <w:tr w:rsidR="004C666A" w:rsidRPr="004C666A" w:rsidTr="00FD70EF">
        <w:trPr>
          <w:tblCellSpacing w:w="22" w:type="dxa"/>
        </w:trPr>
        <w:tc>
          <w:tcPr>
            <w:tcW w:w="5000" w:type="pct"/>
          </w:tcPr>
          <w:p w:rsidR="004C666A" w:rsidRPr="004C666A" w:rsidRDefault="004C666A" w:rsidP="004C666A">
            <w:pPr>
              <w:spacing w:before="100" w:beforeAutospacing="1" w:after="100" w:afterAutospacing="1"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Додаток 7</w:t>
            </w:r>
            <w:r w:rsidRPr="004C666A">
              <w:rPr>
                <w:rFonts w:ascii="Times New Roman" w:eastAsia="Times New Roman" w:hAnsi="Times New Roman" w:cs="Times New Roman"/>
                <w:sz w:val="20"/>
                <w:szCs w:val="20"/>
                <w:lang w:val="uk-UA" w:eastAsia="uk-UA"/>
              </w:rPr>
              <w:br/>
              <w:t>до Положення про розкриття інформації емітентами цінних паперів</w:t>
            </w:r>
            <w:r w:rsidRPr="004C666A">
              <w:rPr>
                <w:rFonts w:ascii="Times New Roman" w:eastAsia="Times New Roman" w:hAnsi="Times New Roman" w:cs="Times New Roman"/>
                <w:sz w:val="20"/>
                <w:szCs w:val="20"/>
                <w:lang w:eastAsia="uk-UA"/>
              </w:rPr>
              <w:t xml:space="preserve"> </w:t>
            </w:r>
            <w:r w:rsidRPr="004C666A">
              <w:rPr>
                <w:rFonts w:ascii="Times New Roman" w:eastAsia="Times New Roman" w:hAnsi="Times New Roman" w:cs="Times New Roman"/>
                <w:sz w:val="20"/>
                <w:szCs w:val="20"/>
                <w:lang w:val="uk-UA" w:eastAsia="uk-UA"/>
              </w:rPr>
              <w:t>(пункти 8 - 10 глави 1 розділу III)</w:t>
            </w:r>
          </w:p>
        </w:tc>
      </w:tr>
    </w:tbl>
    <w:p w:rsidR="004C666A" w:rsidRPr="004C666A" w:rsidRDefault="004C666A" w:rsidP="004C666A">
      <w:pPr>
        <w:spacing w:before="100" w:beforeAutospacing="1" w:after="100" w:afterAutospacing="1" w:line="240" w:lineRule="auto"/>
        <w:jc w:val="center"/>
        <w:rPr>
          <w:rFonts w:ascii="Times New Roman" w:eastAsia="Times New Roman" w:hAnsi="Times New Roman" w:cs="Times New Roman"/>
          <w:b/>
          <w:bCs/>
          <w:sz w:val="24"/>
          <w:szCs w:val="24"/>
          <w:lang w:eastAsia="uk-UA"/>
        </w:rPr>
      </w:pPr>
      <w:r w:rsidRPr="004C666A">
        <w:rPr>
          <w:rFonts w:ascii="Times New Roman" w:eastAsia="Times New Roman" w:hAnsi="Times New Roman" w:cs="Times New Roman"/>
          <w:sz w:val="24"/>
          <w:szCs w:val="24"/>
          <w:lang w:val="uk-UA" w:eastAsia="uk-UA"/>
        </w:rPr>
        <w:br w:type="textWrapping" w:clear="all"/>
      </w:r>
      <w:r w:rsidRPr="004C666A">
        <w:rPr>
          <w:rFonts w:ascii="Times New Roman" w:eastAsia="Times New Roman" w:hAnsi="Times New Roman" w:cs="Times New Roman"/>
          <w:b/>
          <w:bCs/>
          <w:sz w:val="24"/>
          <w:szCs w:val="24"/>
          <w:lang w:eastAsia="uk-UA"/>
        </w:rPr>
        <w:t>2.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441"/>
        <w:gridCol w:w="463"/>
        <w:gridCol w:w="30"/>
        <w:gridCol w:w="530"/>
        <w:gridCol w:w="279"/>
        <w:gridCol w:w="573"/>
        <w:gridCol w:w="91"/>
        <w:gridCol w:w="280"/>
        <w:gridCol w:w="315"/>
        <w:gridCol w:w="45"/>
        <w:gridCol w:w="584"/>
        <w:gridCol w:w="280"/>
        <w:gridCol w:w="193"/>
        <w:gridCol w:w="247"/>
        <w:gridCol w:w="36"/>
        <w:gridCol w:w="1028"/>
        <w:gridCol w:w="240"/>
        <w:gridCol w:w="291"/>
        <w:gridCol w:w="384"/>
        <w:gridCol w:w="183"/>
        <w:gridCol w:w="407"/>
        <w:gridCol w:w="40"/>
        <w:gridCol w:w="403"/>
        <w:gridCol w:w="424"/>
        <w:gridCol w:w="343"/>
        <w:gridCol w:w="134"/>
        <w:gridCol w:w="160"/>
        <w:gridCol w:w="1501"/>
        <w:gridCol w:w="15"/>
      </w:tblGrid>
      <w:tr w:rsidR="004C666A" w:rsidRPr="004C666A" w:rsidTr="00FD70EF">
        <w:trPr>
          <w:trHeight w:val="397"/>
        </w:trPr>
        <w:tc>
          <w:tcPr>
            <w:tcW w:w="10800" w:type="dxa"/>
            <w:gridSpan w:val="30"/>
            <w:tcBorders>
              <w:bottom w:val="inset" w:sz="6" w:space="0" w:color="auto"/>
            </w:tcBorders>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uk-UA"/>
              </w:rPr>
            </w:pPr>
            <w:r w:rsidRPr="004C666A">
              <w:rPr>
                <w:rFonts w:ascii="Times New Roman" w:eastAsia="Times New Roman" w:hAnsi="Times New Roman" w:cs="Times New Roman"/>
                <w:sz w:val="24"/>
                <w:szCs w:val="24"/>
                <w:lang w:val="uk-UA" w:eastAsia="uk-UA"/>
              </w:rPr>
              <w:t>1. Причина повідомлення (відмітити потрібне):</w:t>
            </w:r>
          </w:p>
        </w:tc>
      </w:tr>
      <w:tr w:rsidR="004C666A" w:rsidRPr="004C666A" w:rsidTr="00FD70EF">
        <w:trPr>
          <w:trHeight w:val="686"/>
        </w:trPr>
        <w:tc>
          <w:tcPr>
            <w:tcW w:w="860" w:type="dxa"/>
            <w:tcBorders>
              <w:top w:val="inset" w:sz="6" w:space="0" w:color="auto"/>
              <w:left w:val="inset" w:sz="6" w:space="0" w:color="auto"/>
              <w:bottom w:val="nil"/>
              <w:right w:val="nil"/>
            </w:tcBorders>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b/>
                <w:sz w:val="28"/>
                <w:szCs w:val="28"/>
                <w:lang w:val="en-US" w:eastAsia="uk-UA"/>
              </w:rPr>
              <w:t>X</w:t>
            </w:r>
          </w:p>
        </w:tc>
        <w:tc>
          <w:tcPr>
            <w:tcW w:w="9940" w:type="dxa"/>
            <w:gridSpan w:val="29"/>
            <w:tcBorders>
              <w:top w:val="inset" w:sz="6" w:space="0" w:color="auto"/>
              <w:left w:val="nil"/>
              <w:bottom w:val="nil"/>
              <w:right w:val="outset" w:sz="6" w:space="0" w:color="auto"/>
            </w:tcBorders>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4C666A" w:rsidRPr="004C666A" w:rsidTr="00FD70EF">
        <w:trPr>
          <w:trHeight w:val="670"/>
        </w:trPr>
        <w:tc>
          <w:tcPr>
            <w:tcW w:w="860" w:type="dxa"/>
            <w:tcBorders>
              <w:top w:val="nil"/>
              <w:left w:val="inset" w:sz="6" w:space="0" w:color="auto"/>
              <w:bottom w:val="nil"/>
              <w:right w:val="nil"/>
            </w:tcBorders>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eastAsia="uk-UA"/>
              </w:rPr>
            </w:pPr>
            <w:r w:rsidRPr="004C666A">
              <w:rPr>
                <w:rFonts w:ascii="Times New Roman" w:eastAsia="Times New Roman" w:hAnsi="Times New Roman" w:cs="Times New Roman"/>
                <w:b/>
                <w:sz w:val="28"/>
                <w:szCs w:val="28"/>
                <w:lang w:eastAsia="uk-UA"/>
              </w:rPr>
              <w:t xml:space="preserve"> </w:t>
            </w:r>
          </w:p>
        </w:tc>
        <w:tc>
          <w:tcPr>
            <w:tcW w:w="9940" w:type="dxa"/>
            <w:gridSpan w:val="29"/>
            <w:tcBorders>
              <w:top w:val="nil"/>
              <w:left w:val="nil"/>
              <w:bottom w:val="nil"/>
              <w:right w:val="outset" w:sz="6" w:space="0" w:color="auto"/>
            </w:tcBorders>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4C666A" w:rsidRPr="004C666A" w:rsidTr="00FD70EF">
        <w:trPr>
          <w:trHeight w:val="964"/>
        </w:trPr>
        <w:tc>
          <w:tcPr>
            <w:tcW w:w="860" w:type="dxa"/>
            <w:tcBorders>
              <w:top w:val="nil"/>
              <w:left w:val="inset" w:sz="6" w:space="0" w:color="auto"/>
              <w:bottom w:val="outset" w:sz="6" w:space="0" w:color="auto"/>
              <w:right w:val="nil"/>
            </w:tcBorders>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eastAsia="uk-UA"/>
              </w:rPr>
            </w:pPr>
            <w:r w:rsidRPr="004C666A">
              <w:rPr>
                <w:rFonts w:ascii="Times New Roman" w:eastAsia="Times New Roman" w:hAnsi="Times New Roman" w:cs="Times New Roman"/>
                <w:b/>
                <w:sz w:val="28"/>
                <w:szCs w:val="28"/>
                <w:lang w:eastAsia="uk-UA"/>
              </w:rPr>
              <w:t xml:space="preserve"> </w:t>
            </w:r>
          </w:p>
        </w:tc>
        <w:tc>
          <w:tcPr>
            <w:tcW w:w="9940" w:type="dxa"/>
            <w:gridSpan w:val="29"/>
            <w:tcBorders>
              <w:top w:val="nil"/>
              <w:left w:val="nil"/>
              <w:bottom w:val="outset" w:sz="6" w:space="0" w:color="auto"/>
              <w:right w:val="outset" w:sz="6" w:space="0" w:color="auto"/>
            </w:tcBorders>
            <w:vAlign w:val="center"/>
          </w:tcPr>
          <w:p w:rsidR="004C666A" w:rsidRPr="004C666A" w:rsidRDefault="004C666A" w:rsidP="004C666A">
            <w:pPr>
              <w:spacing w:after="0" w:line="240" w:lineRule="auto"/>
              <w:jc w:val="both"/>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4C666A" w:rsidRPr="004C666A" w:rsidTr="00FD70EF">
        <w:trPr>
          <w:trHeight w:val="390"/>
        </w:trPr>
        <w:tc>
          <w:tcPr>
            <w:tcW w:w="10800" w:type="dxa"/>
            <w:gridSpan w:val="30"/>
            <w:tcBorders>
              <w:top w:val="outset" w:sz="6" w:space="0" w:color="auto"/>
            </w:tcBorders>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2. Відомості про особу, на яку поширюється обов’язок щодо подання повідомлення відповідно до статті 64</w:t>
            </w:r>
            <w:r w:rsidRPr="004C666A">
              <w:rPr>
                <w:rFonts w:ascii="Times New Roman" w:eastAsia="Times New Roman" w:hAnsi="Times New Roman" w:cs="Times New Roman"/>
                <w:sz w:val="24"/>
                <w:szCs w:val="24"/>
                <w:vertAlign w:val="superscript"/>
                <w:lang w:val="uk-UA" w:eastAsia="uk-UA"/>
              </w:rPr>
              <w:t>1</w:t>
            </w:r>
            <w:r w:rsidRPr="004C666A">
              <w:rPr>
                <w:rFonts w:ascii="Times New Roman" w:eastAsia="Times New Roman" w:hAnsi="Times New Roman" w:cs="Times New Roman"/>
                <w:sz w:val="24"/>
                <w:szCs w:val="24"/>
                <w:lang w:val="uk-UA" w:eastAsia="uk-UA"/>
              </w:rPr>
              <w:t xml:space="preserve"> Закону України «Про акціонерні товариства»:</w:t>
            </w:r>
            <w:r w:rsidRPr="004C666A">
              <w:rPr>
                <w:rFonts w:ascii="Times New Roman" w:eastAsia="Times New Roman" w:hAnsi="Times New Roman" w:cs="Times New Roman"/>
                <w:sz w:val="24"/>
                <w:szCs w:val="24"/>
                <w:vertAlign w:val="superscript"/>
                <w:lang w:val="uk-UA" w:eastAsia="uk-UA"/>
              </w:rPr>
              <w:t xml:space="preserve"> </w:t>
            </w:r>
          </w:p>
        </w:tc>
      </w:tr>
      <w:tr w:rsidR="004C666A" w:rsidRPr="004C666A" w:rsidTr="00FD70EF">
        <w:trPr>
          <w:trHeight w:val="390"/>
        </w:trPr>
        <w:tc>
          <w:tcPr>
            <w:tcW w:w="10800" w:type="dxa"/>
            <w:gridSpan w:val="30"/>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2.1. Щодо фізичної особи - прізвище, ім’я, по батькові (за наявності): </w:t>
            </w:r>
            <w:r w:rsidRPr="004C666A">
              <w:rPr>
                <w:rFonts w:ascii="Times New Roman" w:eastAsia="Times New Roman" w:hAnsi="Times New Roman" w:cs="Times New Roman"/>
                <w:sz w:val="20"/>
                <w:szCs w:val="20"/>
                <w:lang w:eastAsia="uk-UA"/>
              </w:rPr>
              <w:t>Комаров Сергій Миколайович</w:t>
            </w:r>
          </w:p>
        </w:tc>
      </w:tr>
      <w:tr w:rsidR="004C666A" w:rsidRPr="004C666A" w:rsidTr="00FD70EF">
        <w:trPr>
          <w:trHeight w:val="920"/>
        </w:trPr>
        <w:tc>
          <w:tcPr>
            <w:tcW w:w="2324" w:type="dxa"/>
            <w:gridSpan w:val="5"/>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2.2. Щодо юридичної особи:</w:t>
            </w:r>
          </w:p>
        </w:tc>
        <w:tc>
          <w:tcPr>
            <w:tcW w:w="2167"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Найменування</w:t>
            </w:r>
          </w:p>
        </w:tc>
        <w:tc>
          <w:tcPr>
            <w:tcW w:w="3732" w:type="dxa"/>
            <w:gridSpan w:val="12"/>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77" w:type="dxa"/>
            <w:gridSpan w:val="6"/>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Місцезнаходження</w:t>
            </w:r>
          </w:p>
        </w:tc>
      </w:tr>
      <w:tr w:rsidR="004C666A" w:rsidRPr="004C666A" w:rsidTr="00FD70EF">
        <w:trPr>
          <w:trHeight w:val="919"/>
        </w:trPr>
        <w:tc>
          <w:tcPr>
            <w:tcW w:w="2324" w:type="dxa"/>
            <w:gridSpan w:val="5"/>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2167"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3732" w:type="dxa"/>
            <w:gridSpan w:val="12"/>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2577" w:type="dxa"/>
            <w:gridSpan w:val="6"/>
            <w:shd w:val="clear" w:color="auto" w:fill="auto"/>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val="en-US" w:eastAsia="uk-UA"/>
              </w:rPr>
              <w:t xml:space="preserve"> </w:t>
            </w:r>
          </w:p>
        </w:tc>
      </w:tr>
      <w:tr w:rsidR="004C666A" w:rsidRPr="004C666A" w:rsidTr="00FD70EF">
        <w:trPr>
          <w:trHeight w:val="419"/>
        </w:trPr>
        <w:tc>
          <w:tcPr>
            <w:tcW w:w="10800" w:type="dxa"/>
            <w:gridSpan w:val="30"/>
            <w:vAlign w:val="center"/>
          </w:tcPr>
          <w:p w:rsidR="004C666A" w:rsidRPr="004C666A" w:rsidRDefault="004C666A" w:rsidP="004C666A">
            <w:pPr>
              <w:spacing w:after="0" w:line="240" w:lineRule="auto"/>
              <w:rPr>
                <w:rFonts w:ascii="Times New Roman" w:eastAsia="Times New Roman" w:hAnsi="Times New Roman" w:cs="Times New Roman"/>
                <w:sz w:val="24"/>
                <w:szCs w:val="24"/>
                <w:lang w:eastAsia="uk-UA"/>
              </w:rPr>
            </w:pPr>
            <w:r w:rsidRPr="004C666A">
              <w:rPr>
                <w:rFonts w:ascii="Times New Roman" w:eastAsia="Times New Roman" w:hAnsi="Times New Roman" w:cs="Times New Roman"/>
                <w:sz w:val="24"/>
                <w:szCs w:val="24"/>
                <w:lang w:val="uk-UA" w:eastAsia="uk-UA"/>
              </w:rPr>
              <w:t>3. Дата, коли порогове значення було досягнуто або перетнуто</w:t>
            </w:r>
            <w:r w:rsidRPr="004C666A">
              <w:rPr>
                <w:rFonts w:ascii="Times New Roman" w:eastAsia="Times New Roman" w:hAnsi="Times New Roman" w:cs="Times New Roman"/>
                <w:sz w:val="24"/>
                <w:szCs w:val="24"/>
                <w:lang w:eastAsia="uk-UA"/>
              </w:rPr>
              <w:t xml:space="preserve">  21.06.2023</w:t>
            </w:r>
          </w:p>
        </w:tc>
      </w:tr>
      <w:tr w:rsidR="004C666A" w:rsidRPr="004C666A" w:rsidTr="00FD70EF">
        <w:trPr>
          <w:trHeight w:val="555"/>
        </w:trPr>
        <w:tc>
          <w:tcPr>
            <w:tcW w:w="1764" w:type="dxa"/>
            <w:gridSpan w:val="3"/>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4. Результат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503"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 xml:space="preserve">Розмір пакета голосуючих акцій (у відсотках) (показник останньої колонки таблиці пункту 5) </w:t>
            </w:r>
          </w:p>
        </w:tc>
        <w:tc>
          <w:tcPr>
            <w:tcW w:w="1504"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 (у відсотках) (показник останньої колонки таблиці пункту 6)</w:t>
            </w:r>
          </w:p>
        </w:tc>
        <w:tc>
          <w:tcPr>
            <w:tcW w:w="1504" w:type="dxa"/>
            <w:gridSpan w:val="4"/>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іншими цінними паперами (у відсотках) (за наявності)</w:t>
            </w:r>
          </w:p>
        </w:tc>
        <w:tc>
          <w:tcPr>
            <w:tcW w:w="1505"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 пов’язаних із фінансовими інструментами (у відсотках) (сума показників останньої колонки таблиць 7.1 та 7.2)</w:t>
            </w:r>
          </w:p>
        </w:tc>
        <w:tc>
          <w:tcPr>
            <w:tcW w:w="1504" w:type="dxa"/>
            <w:gridSpan w:val="6"/>
            <w:vAlign w:val="center"/>
          </w:tcPr>
          <w:p w:rsidR="004C666A" w:rsidRPr="004C666A" w:rsidRDefault="004C666A" w:rsidP="004C666A">
            <w:pPr>
              <w:tabs>
                <w:tab w:val="left" w:pos="10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Усього (сума показників, зазначених у графах 2, 4, 5 цієї таблиці)</w:t>
            </w:r>
          </w:p>
        </w:tc>
        <w:tc>
          <w:tcPr>
            <w:tcW w:w="1516"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Загальна кількість голосуючих акцій емітента станом на останню дату складення реєстру власників акцій (шт.)</w:t>
            </w:r>
          </w:p>
        </w:tc>
      </w:tr>
      <w:tr w:rsidR="004C666A" w:rsidRPr="004C666A" w:rsidTr="00FD70EF">
        <w:trPr>
          <w:trHeight w:val="555"/>
        </w:trPr>
        <w:tc>
          <w:tcPr>
            <w:tcW w:w="1764" w:type="dxa"/>
            <w:gridSpan w:val="3"/>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1</w:t>
            </w:r>
          </w:p>
        </w:tc>
        <w:tc>
          <w:tcPr>
            <w:tcW w:w="1503" w:type="dxa"/>
            <w:gridSpan w:val="5"/>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2</w:t>
            </w:r>
          </w:p>
        </w:tc>
        <w:tc>
          <w:tcPr>
            <w:tcW w:w="1504" w:type="dxa"/>
            <w:gridSpan w:val="5"/>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3</w:t>
            </w:r>
          </w:p>
        </w:tc>
        <w:tc>
          <w:tcPr>
            <w:tcW w:w="1504" w:type="dxa"/>
            <w:gridSpan w:val="4"/>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en-US" w:eastAsia="uk-UA"/>
              </w:rPr>
            </w:pPr>
            <w:r w:rsidRPr="004C666A">
              <w:rPr>
                <w:rFonts w:ascii="Times New Roman" w:eastAsia="Times New Roman" w:hAnsi="Times New Roman" w:cs="Times New Roman"/>
                <w:sz w:val="24"/>
                <w:szCs w:val="24"/>
                <w:lang w:val="en-US" w:eastAsia="uk-UA"/>
              </w:rPr>
              <w:t>4</w:t>
            </w:r>
          </w:p>
        </w:tc>
        <w:tc>
          <w:tcPr>
            <w:tcW w:w="1505" w:type="dxa"/>
            <w:gridSpan w:val="5"/>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en-US" w:eastAsia="uk-UA"/>
              </w:rPr>
            </w:pPr>
            <w:r w:rsidRPr="004C666A">
              <w:rPr>
                <w:rFonts w:ascii="Times New Roman" w:eastAsia="Times New Roman" w:hAnsi="Times New Roman" w:cs="Times New Roman"/>
                <w:sz w:val="24"/>
                <w:szCs w:val="24"/>
                <w:lang w:val="en-US" w:eastAsia="uk-UA"/>
              </w:rPr>
              <w:t>5</w:t>
            </w:r>
          </w:p>
        </w:tc>
        <w:tc>
          <w:tcPr>
            <w:tcW w:w="1504" w:type="dxa"/>
            <w:gridSpan w:val="6"/>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en-US" w:eastAsia="uk-UA"/>
              </w:rPr>
              <w:t>6</w:t>
            </w:r>
          </w:p>
        </w:tc>
        <w:tc>
          <w:tcPr>
            <w:tcW w:w="1516" w:type="dxa"/>
            <w:gridSpan w:val="2"/>
            <w:vAlign w:val="center"/>
          </w:tcPr>
          <w:p w:rsidR="004C666A" w:rsidRPr="004C666A" w:rsidRDefault="004C666A" w:rsidP="004C666A">
            <w:pPr>
              <w:spacing w:after="0" w:line="240" w:lineRule="auto"/>
              <w:jc w:val="center"/>
              <w:rPr>
                <w:rFonts w:ascii="Times New Roman" w:eastAsia="Times New Roman" w:hAnsi="Times New Roman" w:cs="Times New Roman"/>
                <w:sz w:val="24"/>
                <w:szCs w:val="24"/>
                <w:lang w:val="en-US" w:eastAsia="uk-UA"/>
              </w:rPr>
            </w:pPr>
            <w:r w:rsidRPr="004C666A">
              <w:rPr>
                <w:rFonts w:ascii="Times New Roman" w:eastAsia="Times New Roman" w:hAnsi="Times New Roman" w:cs="Times New Roman"/>
                <w:sz w:val="24"/>
                <w:szCs w:val="24"/>
                <w:lang w:val="en-US" w:eastAsia="uk-UA"/>
              </w:rPr>
              <w:t>7</w:t>
            </w:r>
          </w:p>
        </w:tc>
      </w:tr>
      <w:tr w:rsidR="004C666A" w:rsidRPr="004C666A" w:rsidTr="00FD70EF">
        <w:trPr>
          <w:trHeight w:val="555"/>
        </w:trPr>
        <w:tc>
          <w:tcPr>
            <w:tcW w:w="1764" w:type="dxa"/>
            <w:gridSpan w:val="3"/>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lastRenderedPageBreak/>
              <w:t>на дату, коли порогове значення було досягнуто або перетнуто</w:t>
            </w:r>
          </w:p>
        </w:tc>
        <w:tc>
          <w:tcPr>
            <w:tcW w:w="150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100</w:t>
            </w:r>
          </w:p>
        </w:tc>
        <w:tc>
          <w:tcPr>
            <w:tcW w:w="15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val="en-US" w:eastAsia="uk-UA"/>
              </w:rPr>
              <w:t xml:space="preserve"> </w:t>
            </w:r>
          </w:p>
        </w:tc>
        <w:tc>
          <w:tcPr>
            <w:tcW w:w="15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15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 xml:space="preserve"> </w:t>
            </w:r>
          </w:p>
        </w:tc>
        <w:tc>
          <w:tcPr>
            <w:tcW w:w="150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100</w:t>
            </w:r>
          </w:p>
        </w:tc>
        <w:tc>
          <w:tcPr>
            <w:tcW w:w="1516"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5110</w:t>
            </w:r>
          </w:p>
        </w:tc>
      </w:tr>
      <w:tr w:rsidR="004C666A" w:rsidRPr="004C666A" w:rsidTr="00FD70EF">
        <w:trPr>
          <w:gridAfter w:val="1"/>
          <w:wAfter w:w="15" w:type="dxa"/>
          <w:trHeight w:val="555"/>
        </w:trPr>
        <w:tc>
          <w:tcPr>
            <w:tcW w:w="1764" w:type="dxa"/>
            <w:gridSpan w:val="3"/>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дані попереднього повідомлення  (за наявності)</w:t>
            </w:r>
          </w:p>
        </w:tc>
        <w:tc>
          <w:tcPr>
            <w:tcW w:w="150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eastAsia="uk-UA"/>
              </w:rPr>
              <w:t xml:space="preserve"> </w:t>
            </w:r>
            <w:r w:rsidR="00626D9B">
              <w:rPr>
                <w:rFonts w:ascii="Times New Roman" w:eastAsia="Times New Roman" w:hAnsi="Times New Roman" w:cs="Times New Roman"/>
                <w:sz w:val="20"/>
                <w:szCs w:val="20"/>
                <w:lang w:val="en-US" w:eastAsia="uk-UA"/>
              </w:rPr>
              <w:t>0</w:t>
            </w:r>
          </w:p>
        </w:tc>
        <w:tc>
          <w:tcPr>
            <w:tcW w:w="15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eastAsia="uk-UA"/>
              </w:rPr>
              <w:t xml:space="preserve"> </w:t>
            </w:r>
          </w:p>
        </w:tc>
        <w:tc>
          <w:tcPr>
            <w:tcW w:w="15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5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50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eastAsia="uk-UA"/>
              </w:rPr>
              <w:t xml:space="preserve"> </w:t>
            </w:r>
            <w:r w:rsidR="00626D9B">
              <w:rPr>
                <w:rFonts w:ascii="Times New Roman" w:eastAsia="Times New Roman" w:hAnsi="Times New Roman" w:cs="Times New Roman"/>
                <w:sz w:val="20"/>
                <w:szCs w:val="20"/>
                <w:lang w:val="en-US" w:eastAsia="uk-UA"/>
              </w:rPr>
              <w:t>0</w:t>
            </w:r>
          </w:p>
        </w:tc>
        <w:tc>
          <w:tcPr>
            <w:tcW w:w="1501" w:type="dxa"/>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5110</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5. Детально про зміну акціонерів, яким належать голосуючі акції, розмір пакета яких стає більшим, меншим або рівним пороговому значенню пакета акцій</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Розмір пакета голосуючих акцій на дату, коли порогове значення було досягнуто або перетнуто</w:t>
            </w:r>
          </w:p>
        </w:tc>
      </w:tr>
      <w:tr w:rsidR="004C666A" w:rsidRPr="004C666A" w:rsidTr="00FD70EF">
        <w:trPr>
          <w:gridAfter w:val="1"/>
          <w:wAfter w:w="15" w:type="dxa"/>
          <w:trHeight w:val="554"/>
        </w:trPr>
        <w:tc>
          <w:tcPr>
            <w:tcW w:w="1794" w:type="dxa"/>
            <w:gridSpan w:val="4"/>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Клас і тип акцій</w:t>
            </w:r>
          </w:p>
        </w:tc>
        <w:tc>
          <w:tcPr>
            <w:tcW w:w="2068"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Міжнародний ідентифікаційний номер цінних паперів</w:t>
            </w: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1800"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голосуючих акцій (шт.)</w:t>
            </w:r>
          </w:p>
        </w:tc>
        <w:tc>
          <w:tcPr>
            <w:tcW w:w="1795" w:type="dxa"/>
            <w:gridSpan w:val="3"/>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Розмір пакета голосуючих акцій (у відсотках)</w:t>
            </w:r>
          </w:p>
        </w:tc>
      </w:tr>
      <w:tr w:rsidR="004C666A" w:rsidRPr="004C666A" w:rsidTr="00FD70EF">
        <w:trPr>
          <w:gridAfter w:val="1"/>
          <w:wAfter w:w="15" w:type="dxa"/>
          <w:trHeight w:val="554"/>
        </w:trPr>
        <w:tc>
          <w:tcPr>
            <w:tcW w:w="1794" w:type="dxa"/>
            <w:gridSpan w:val="4"/>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c>
          <w:tcPr>
            <w:tcW w:w="2068"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Володіння (пряме або опосередковане)</w:t>
            </w:r>
          </w:p>
        </w:tc>
        <w:tc>
          <w:tcPr>
            <w:tcW w:w="1800"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c>
          <w:tcPr>
            <w:tcW w:w="1795" w:type="dxa"/>
            <w:gridSpan w:val="3"/>
            <w:vMerge/>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p>
        </w:tc>
      </w:tr>
      <w:tr w:rsidR="004C666A" w:rsidRPr="004C666A" w:rsidTr="00FD70EF">
        <w:trPr>
          <w:gridAfter w:val="1"/>
          <w:wAfter w:w="15" w:type="dxa"/>
          <w:trHeight w:val="385"/>
        </w:trPr>
        <w:tc>
          <w:tcPr>
            <w:tcW w:w="1794" w:type="dxa"/>
            <w:gridSpan w:val="4"/>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Прості іменні</w:t>
            </w:r>
          </w:p>
        </w:tc>
        <w:tc>
          <w:tcPr>
            <w:tcW w:w="2068"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UA4000131890</w:t>
            </w: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 – набуття</w:t>
            </w:r>
          </w:p>
        </w:tc>
        <w:tc>
          <w:tcPr>
            <w:tcW w:w="1800" w:type="dxa"/>
            <w:gridSpan w:val="6"/>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5110</w:t>
            </w:r>
          </w:p>
        </w:tc>
        <w:tc>
          <w:tcPr>
            <w:tcW w:w="1795" w:type="dxa"/>
            <w:gridSpan w:val="3"/>
            <w:vMerge w:val="restart"/>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100</w:t>
            </w:r>
          </w:p>
        </w:tc>
      </w:tr>
      <w:tr w:rsidR="004C666A" w:rsidRPr="004C666A" w:rsidTr="00FD70EF">
        <w:trPr>
          <w:gridAfter w:val="1"/>
          <w:wAfter w:w="15" w:type="dxa"/>
          <w:trHeight w:val="385"/>
        </w:trPr>
        <w:tc>
          <w:tcPr>
            <w:tcW w:w="1794" w:type="dxa"/>
            <w:gridSpan w:val="4"/>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c>
          <w:tcPr>
            <w:tcW w:w="2068"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c>
          <w:tcPr>
            <w:tcW w:w="3328" w:type="dxa"/>
            <w:gridSpan w:val="10"/>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r w:rsidRPr="004C666A">
              <w:rPr>
                <w:rFonts w:ascii="Times New Roman" w:eastAsia="Times New Roman" w:hAnsi="Times New Roman" w:cs="Times New Roman"/>
                <w:sz w:val="20"/>
                <w:szCs w:val="20"/>
                <w:lang w:val="en-US" w:eastAsia="uk-UA"/>
              </w:rPr>
              <w:t>1 – пряме</w:t>
            </w:r>
          </w:p>
        </w:tc>
        <w:tc>
          <w:tcPr>
            <w:tcW w:w="1800" w:type="dxa"/>
            <w:gridSpan w:val="6"/>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c>
          <w:tcPr>
            <w:tcW w:w="1795" w:type="dxa"/>
            <w:gridSpan w:val="3"/>
            <w:vMerge/>
            <w:vAlign w:val="center"/>
          </w:tcPr>
          <w:p w:rsidR="004C666A" w:rsidRPr="004C666A" w:rsidRDefault="004C666A" w:rsidP="004C666A">
            <w:pPr>
              <w:spacing w:after="0" w:line="240" w:lineRule="auto"/>
              <w:rPr>
                <w:rFonts w:ascii="Times New Roman" w:eastAsia="Times New Roman" w:hAnsi="Times New Roman" w:cs="Times New Roman"/>
                <w:sz w:val="20"/>
                <w:szCs w:val="20"/>
                <w:lang w:val="en-US" w:eastAsia="uk-UA"/>
              </w:rPr>
            </w:pP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Розмір прав за акціями на дату, коли порогове значення було досягнуто або перетнуто</w:t>
            </w:r>
          </w:p>
        </w:tc>
      </w:tr>
      <w:tr w:rsidR="004C666A" w:rsidRPr="004C666A" w:rsidTr="00FD70EF">
        <w:trPr>
          <w:gridAfter w:val="1"/>
          <w:wAfter w:w="15" w:type="dxa"/>
          <w:trHeight w:val="1118"/>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Клас і тип акцій</w:t>
            </w:r>
          </w:p>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Міжнародний ідентифікаційний номер цінних паперів</w:t>
            </w:r>
          </w:p>
        </w:tc>
        <w:tc>
          <w:tcPr>
            <w:tcW w:w="166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2162"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 xml:space="preserve">Один із випадків, передбачених частиною дев’ятою статті </w:t>
            </w:r>
            <w:r w:rsidRPr="004C666A">
              <w:rPr>
                <w:rFonts w:ascii="Times New Roman" w:eastAsia="Times New Roman" w:hAnsi="Times New Roman" w:cs="Times New Roman"/>
                <w:sz w:val="24"/>
                <w:szCs w:val="24"/>
                <w:lang w:val="uk-UA" w:eastAsia="uk-UA"/>
              </w:rPr>
              <w:t>64</w:t>
            </w:r>
            <w:r w:rsidRPr="004C666A">
              <w:rPr>
                <w:rFonts w:ascii="Times New Roman" w:eastAsia="Times New Roman" w:hAnsi="Times New Roman" w:cs="Times New Roman"/>
                <w:sz w:val="24"/>
                <w:szCs w:val="24"/>
                <w:vertAlign w:val="superscript"/>
                <w:lang w:val="uk-UA" w:eastAsia="uk-UA"/>
              </w:rPr>
              <w:t>1</w:t>
            </w:r>
            <w:r w:rsidRPr="004C666A">
              <w:rPr>
                <w:rFonts w:ascii="Times New Roman" w:eastAsia="Times New Roman" w:hAnsi="Times New Roman" w:cs="Times New Roman"/>
                <w:sz w:val="20"/>
                <w:szCs w:val="20"/>
                <w:lang w:val="uk-UA" w:eastAsia="uk-UA"/>
              </w:rPr>
              <w:t xml:space="preserve"> Закону України «Про акціонерні товариства»</w:t>
            </w:r>
          </w:p>
        </w:tc>
        <w:tc>
          <w:tcPr>
            <w:tcW w:w="1617"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голосів (шт.)</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Розмір прав голосу за акціями (у відсотках)</w:t>
            </w:r>
          </w:p>
        </w:tc>
      </w:tr>
      <w:tr w:rsidR="004C666A" w:rsidRPr="004C666A" w:rsidTr="00FD70EF">
        <w:trPr>
          <w:gridAfter w:val="1"/>
          <w:wAfter w:w="15" w:type="dxa"/>
          <w:trHeight w:val="555"/>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664"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2162"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617"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eastAsia="uk-UA"/>
              </w:rPr>
            </w:pPr>
            <w:r w:rsidRPr="004C666A">
              <w:rPr>
                <w:rFonts w:ascii="Times New Roman" w:eastAsia="Times New Roman" w:hAnsi="Times New Roman" w:cs="Times New Roman"/>
                <w:sz w:val="20"/>
                <w:szCs w:val="20"/>
                <w:lang w:eastAsia="uk-UA"/>
              </w:rPr>
              <w:t xml:space="preserve"> </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7.1. Розмір прав за акціями на дату, коли порогове значення було досягнуто або перетнуто, стосовно фінансових інструментів, що на дату їх виконання надають своєму власнику право набути голосуючі акції шляхом їх поставки</w:t>
            </w:r>
          </w:p>
        </w:tc>
      </w:tr>
      <w:tr w:rsidR="004C666A" w:rsidRPr="004C666A" w:rsidTr="00FD70EF">
        <w:trPr>
          <w:gridAfter w:val="1"/>
          <w:wAfter w:w="15" w:type="dxa"/>
          <w:trHeight w:val="1118"/>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Тип фінансового інструмента</w:t>
            </w:r>
          </w:p>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Дата виконання</w:t>
            </w:r>
          </w:p>
        </w:tc>
        <w:tc>
          <w:tcPr>
            <w:tcW w:w="1700"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1943"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Володіння (пряме або опосередковане)</w:t>
            </w:r>
          </w:p>
        </w:tc>
        <w:tc>
          <w:tcPr>
            <w:tcW w:w="1800"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голосуючих акцій, які можуть бути набуті у разі виконання фінансових інструментів (шт.)</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Сумарна кількість прав за акціями (у відсотках)</w:t>
            </w:r>
          </w:p>
        </w:tc>
      </w:tr>
      <w:tr w:rsidR="004C666A" w:rsidRPr="004C666A" w:rsidTr="00FD70EF">
        <w:trPr>
          <w:gridAfter w:val="1"/>
          <w:wAfter w:w="15" w:type="dxa"/>
          <w:trHeight w:val="555"/>
        </w:trPr>
        <w:tc>
          <w:tcPr>
            <w:tcW w:w="179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753"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700" w:type="dxa"/>
            <w:gridSpan w:val="7"/>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943"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800" w:type="dxa"/>
            <w:gridSpan w:val="6"/>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795"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r>
      <w:tr w:rsidR="004C666A" w:rsidRPr="004C666A" w:rsidTr="00FD70EF">
        <w:trPr>
          <w:gridAfter w:val="1"/>
          <w:wAfter w:w="15" w:type="dxa"/>
          <w:trHeight w:val="555"/>
        </w:trPr>
        <w:tc>
          <w:tcPr>
            <w:tcW w:w="10785" w:type="dxa"/>
            <w:gridSpan w:val="29"/>
            <w:vAlign w:val="center"/>
          </w:tcPr>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7.2.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p>
        </w:tc>
      </w:tr>
      <w:tr w:rsidR="004C666A" w:rsidRPr="004C666A" w:rsidTr="00FD70EF">
        <w:trPr>
          <w:gridAfter w:val="1"/>
          <w:wAfter w:w="15" w:type="dxa"/>
          <w:trHeight w:val="1118"/>
        </w:trPr>
        <w:tc>
          <w:tcPr>
            <w:tcW w:w="130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Тип фінансового інструмента</w:t>
            </w:r>
          </w:p>
        </w:tc>
        <w:tc>
          <w:tcPr>
            <w:tcW w:w="1302"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Дата виконання</w:t>
            </w:r>
          </w:p>
        </w:tc>
        <w:tc>
          <w:tcPr>
            <w:tcW w:w="13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Базовий актив (акції або право голосу)</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Дія (набуття або відчуження)</w:t>
            </w:r>
          </w:p>
        </w:tc>
        <w:tc>
          <w:tcPr>
            <w:tcW w:w="1304"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Володіння (пряме або опосеред-коване)</w:t>
            </w:r>
          </w:p>
        </w:tc>
        <w:tc>
          <w:tcPr>
            <w:tcW w:w="13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Розрахунок (грошовий або право голосу)</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голосів (шт.)</w:t>
            </w:r>
          </w:p>
        </w:tc>
        <w:tc>
          <w:tcPr>
            <w:tcW w:w="166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Сумарна кількість прав за акціями (у відсотках)</w:t>
            </w:r>
          </w:p>
        </w:tc>
      </w:tr>
      <w:tr w:rsidR="004C666A" w:rsidRPr="004C666A" w:rsidTr="00FD70EF">
        <w:trPr>
          <w:gridAfter w:val="1"/>
          <w:wAfter w:w="15" w:type="dxa"/>
          <w:trHeight w:val="533"/>
        </w:trPr>
        <w:tc>
          <w:tcPr>
            <w:tcW w:w="130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2"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3"/>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5" w:type="dxa"/>
            <w:gridSpan w:val="5"/>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304" w:type="dxa"/>
            <w:gridSpan w:val="4"/>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c>
          <w:tcPr>
            <w:tcW w:w="1661" w:type="dxa"/>
            <w:gridSpan w:val="2"/>
            <w:vAlign w:val="center"/>
          </w:tcPr>
          <w:p w:rsidR="004C666A" w:rsidRPr="004C666A" w:rsidRDefault="004C666A" w:rsidP="004C666A">
            <w:pPr>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eastAsia="uk-UA"/>
              </w:rPr>
              <w:t xml:space="preserve"> </w:t>
            </w:r>
          </w:p>
        </w:tc>
      </w:tr>
      <w:tr w:rsidR="004C666A" w:rsidRPr="004C666A" w:rsidTr="00FD70EF">
        <w:trPr>
          <w:gridAfter w:val="1"/>
          <w:wAfter w:w="15" w:type="dxa"/>
          <w:trHeight w:val="643"/>
        </w:trPr>
        <w:tc>
          <w:tcPr>
            <w:tcW w:w="10785" w:type="dxa"/>
            <w:gridSpan w:val="29"/>
          </w:tcPr>
          <w:p w:rsidR="004C666A" w:rsidRPr="004C666A" w:rsidRDefault="004C666A" w:rsidP="004C666A">
            <w:pPr>
              <w:spacing w:after="0" w:line="240" w:lineRule="auto"/>
              <w:rPr>
                <w:rFonts w:ascii="Times New Roman" w:eastAsia="Times New Roman" w:hAnsi="Times New Roman" w:cs="Times New Roman"/>
                <w:b/>
                <w:sz w:val="24"/>
                <w:szCs w:val="24"/>
                <w:lang w:val="uk-UA" w:eastAsia="uk-UA"/>
              </w:rPr>
            </w:pPr>
            <w:r w:rsidRPr="004C666A">
              <w:rPr>
                <w:rFonts w:ascii="Times New Roman" w:eastAsia="Times New Roman" w:hAnsi="Times New Roman" w:cs="Times New Roman"/>
                <w:sz w:val="24"/>
                <w:szCs w:val="24"/>
                <w:lang w:val="uk-UA" w:eastAsia="uk-UA"/>
              </w:rPr>
              <w:t>8.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4C666A" w:rsidRPr="004C666A" w:rsidTr="00FD70EF">
        <w:trPr>
          <w:gridAfter w:val="1"/>
          <w:wAfter w:w="15" w:type="dxa"/>
          <w:trHeight w:val="896"/>
        </w:trPr>
        <w:tc>
          <w:tcPr>
            <w:tcW w:w="3176"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lastRenderedPageBreak/>
              <w:t xml:space="preserve">Прізвище, ім'я, по батькові фізичної особи або  найменування юридичної особи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788" w:type="dxa"/>
            <w:gridSpan w:val="7"/>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Розмір пакета голосуючих акцій (у відсотках)**</w:t>
            </w:r>
          </w:p>
        </w:tc>
        <w:tc>
          <w:tcPr>
            <w:tcW w:w="1842" w:type="dxa"/>
            <w:gridSpan w:val="5"/>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(у відсотках)**</w:t>
            </w:r>
          </w:p>
        </w:tc>
        <w:tc>
          <w:tcPr>
            <w:tcW w:w="1841" w:type="dxa"/>
            <w:gridSpan w:val="6"/>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Кількість прав голосу за акціями, пов’язаних із фінансовими інструментами (у відсотках)**</w:t>
            </w:r>
          </w:p>
        </w:tc>
        <w:tc>
          <w:tcPr>
            <w:tcW w:w="2138" w:type="dxa"/>
            <w:gridSpan w:val="4"/>
            <w:vMerge w:val="restart"/>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Усього</w:t>
            </w:r>
          </w:p>
        </w:tc>
      </w:tr>
      <w:tr w:rsidR="004C666A" w:rsidRPr="004C666A" w:rsidTr="00FD70EF">
        <w:trPr>
          <w:gridAfter w:val="1"/>
          <w:wAfter w:w="15" w:type="dxa"/>
          <w:trHeight w:val="539"/>
        </w:trPr>
        <w:tc>
          <w:tcPr>
            <w:tcW w:w="3176"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r w:rsidRPr="004C666A">
              <w:rPr>
                <w:rFonts w:ascii="Times New Roman" w:eastAsia="Times New Roman" w:hAnsi="Times New Roman" w:cs="Times New Roman"/>
                <w:sz w:val="20"/>
                <w:szCs w:val="20"/>
                <w:lang w:val="uk-UA" w:eastAsia="uk-UA"/>
              </w:rPr>
              <w:t>Ідентифікаційний код юридичної особи</w:t>
            </w:r>
          </w:p>
        </w:tc>
        <w:tc>
          <w:tcPr>
            <w:tcW w:w="1788" w:type="dxa"/>
            <w:gridSpan w:val="7"/>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2" w:type="dxa"/>
            <w:gridSpan w:val="5"/>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1" w:type="dxa"/>
            <w:gridSpan w:val="6"/>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2138" w:type="dxa"/>
            <w:gridSpan w:val="4"/>
            <w:vMerge/>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r>
      <w:tr w:rsidR="004C666A" w:rsidRPr="004C666A" w:rsidTr="00FD70EF">
        <w:trPr>
          <w:gridAfter w:val="1"/>
          <w:wAfter w:w="15" w:type="dxa"/>
          <w:trHeight w:val="405"/>
        </w:trPr>
        <w:tc>
          <w:tcPr>
            <w:tcW w:w="3176"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bookmarkStart w:id="2" w:name="_GoBack"/>
            <w:bookmarkEnd w:id="2"/>
          </w:p>
        </w:tc>
        <w:tc>
          <w:tcPr>
            <w:tcW w:w="1788" w:type="dxa"/>
            <w:gridSpan w:val="7"/>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2" w:type="dxa"/>
            <w:gridSpan w:val="5"/>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1841" w:type="dxa"/>
            <w:gridSpan w:val="6"/>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c>
          <w:tcPr>
            <w:tcW w:w="2138" w:type="dxa"/>
            <w:gridSpan w:val="4"/>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uk-UA"/>
              </w:rPr>
            </w:pPr>
          </w:p>
        </w:tc>
      </w:tr>
      <w:tr w:rsidR="004C666A" w:rsidRPr="004C666A" w:rsidTr="00FD70EF">
        <w:trPr>
          <w:gridAfter w:val="1"/>
          <w:wAfter w:w="15" w:type="dxa"/>
          <w:trHeight w:val="694"/>
        </w:trPr>
        <w:tc>
          <w:tcPr>
            <w:tcW w:w="10785" w:type="dxa"/>
            <w:gridSpan w:val="29"/>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9. У випадку голосування на підставі отриманої довіреності зазначаються:</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прізвище, ім'я, по батькові фізичної особи або  найменування та ідентифікаційний код юридичної особи – довірителя :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кількість голосів (шт.) : </w:t>
            </w:r>
            <w:r w:rsidRPr="004C666A">
              <w:rPr>
                <w:rFonts w:ascii="Times New Roman" w:eastAsia="Times New Roman" w:hAnsi="Times New Roman" w:cs="Times New Roman"/>
                <w:sz w:val="24"/>
                <w:szCs w:val="24"/>
                <w:lang w:eastAsia="uk-UA"/>
              </w:rPr>
              <w:t xml:space="preserve">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розмір прав голосу (у відсотках): </w:t>
            </w:r>
            <w:r w:rsidRPr="004C666A">
              <w:rPr>
                <w:rFonts w:ascii="Times New Roman" w:eastAsia="Times New Roman" w:hAnsi="Times New Roman" w:cs="Times New Roman"/>
                <w:sz w:val="24"/>
                <w:szCs w:val="24"/>
                <w:lang w:eastAsia="uk-UA"/>
              </w:rPr>
              <w:t xml:space="preserve"> </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uk-UA"/>
              </w:rPr>
            </w:pPr>
            <w:r w:rsidRPr="004C666A">
              <w:rPr>
                <w:rFonts w:ascii="Times New Roman" w:eastAsia="Times New Roman" w:hAnsi="Times New Roman" w:cs="Times New Roman"/>
                <w:sz w:val="24"/>
                <w:szCs w:val="24"/>
                <w:lang w:val="uk-UA" w:eastAsia="uk-UA"/>
              </w:rPr>
              <w:t>дата закінчення строку довіреності :</w:t>
            </w:r>
            <w:r w:rsidRPr="004C666A">
              <w:rPr>
                <w:rFonts w:ascii="Times New Roman" w:eastAsia="Times New Roman" w:hAnsi="Times New Roman" w:cs="Times New Roman"/>
                <w:sz w:val="24"/>
                <w:szCs w:val="24"/>
                <w:lang w:eastAsia="uk-UA"/>
              </w:rPr>
              <w:t xml:space="preserve"> </w:t>
            </w:r>
            <w:r w:rsidRPr="004C666A">
              <w:rPr>
                <w:rFonts w:ascii="Times New Roman" w:eastAsia="Times New Roman" w:hAnsi="Times New Roman" w:cs="Times New Roman"/>
                <w:sz w:val="24"/>
                <w:szCs w:val="24"/>
                <w:lang w:val="en-US" w:eastAsia="uk-UA"/>
              </w:rPr>
              <w:t xml:space="preserve"> </w:t>
            </w:r>
          </w:p>
        </w:tc>
      </w:tr>
      <w:tr w:rsidR="004C666A" w:rsidRPr="004C666A" w:rsidTr="00FD70EF">
        <w:trPr>
          <w:gridAfter w:val="1"/>
          <w:wAfter w:w="15" w:type="dxa"/>
          <w:trHeight w:val="384"/>
        </w:trPr>
        <w:tc>
          <w:tcPr>
            <w:tcW w:w="10785" w:type="dxa"/>
            <w:gridSpan w:val="29"/>
            <w:vAlign w:val="center"/>
          </w:tcPr>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10. Додаткова інформація, необхідна для повного і точного розкриття інформації про дію:</w:t>
            </w:r>
          </w:p>
          <w:p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26.06.2023 року ПрАТ "Рівнеавтошляхбуд" надійшло повідомлення від Комарова Сергія Миколайовича про набуття ним пакета простих іменних акцій акціонерного товариства, емітентом яких є Приватне акціонерне товариство "Рівнеавтошляхбуд" у кількості 5 110 (п'ять тисяч сто десять) штук, що складає 100% Статутного капіталу емітента. Дата набуття пакета акцій ПрАТ "Рівнеавтошляхбуд" - 21 червня 2023 року. Емітенту невідомі в</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домост</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 xml:space="preserve"> про ос</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б, як</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 xml:space="preserve"> входять до ланцюга волод</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ння корпоративними правами юридичної особи, через яких особа зд</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йснює розпорядження акц</w:t>
            </w:r>
            <w:r w:rsidRPr="004C666A">
              <w:rPr>
                <w:rFonts w:ascii="Times New Roman" w:eastAsia="Times New Roman" w:hAnsi="Times New Roman" w:cs="Times New Roman"/>
                <w:sz w:val="24"/>
                <w:szCs w:val="24"/>
                <w:lang w:val="en-US" w:eastAsia="uk-UA"/>
              </w:rPr>
              <w:t>i</w:t>
            </w:r>
            <w:r w:rsidRPr="004C666A">
              <w:rPr>
                <w:rFonts w:ascii="Times New Roman" w:eastAsia="Times New Roman" w:hAnsi="Times New Roman" w:cs="Times New Roman"/>
                <w:sz w:val="24"/>
                <w:szCs w:val="24"/>
                <w:lang w:val="uk-UA" w:eastAsia="uk-UA"/>
              </w:rPr>
              <w:t>ями.</w:t>
            </w:r>
          </w:p>
        </w:tc>
      </w:tr>
    </w:tbl>
    <w:p w:rsidR="004C666A" w:rsidRPr="004C666A" w:rsidRDefault="004C666A" w:rsidP="004C666A">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4C666A" w:rsidRPr="004C666A" w:rsidRDefault="004C666A" w:rsidP="004C666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xml:space="preserve">* Не враховується право голосу за акціями, якими володіє акціонер. </w:t>
      </w:r>
    </w:p>
    <w:p w:rsidR="004C666A" w:rsidRPr="004C666A" w:rsidRDefault="004C666A" w:rsidP="004C666A">
      <w:pPr>
        <w:spacing w:after="0" w:line="240" w:lineRule="auto"/>
        <w:rPr>
          <w:rFonts w:ascii="Times New Roman" w:eastAsia="Times New Roman" w:hAnsi="Times New Roman" w:cs="Times New Roman"/>
          <w:sz w:val="24"/>
          <w:szCs w:val="24"/>
          <w:lang w:val="uk-UA" w:eastAsia="uk-UA"/>
        </w:rPr>
      </w:pPr>
      <w:r w:rsidRPr="004C666A">
        <w:rPr>
          <w:rFonts w:ascii="Times New Roman" w:eastAsia="Times New Roman" w:hAnsi="Times New Roman" w:cs="Times New Roman"/>
          <w:sz w:val="24"/>
          <w:szCs w:val="24"/>
          <w:lang w:val="uk-UA" w:eastAsia="uk-UA"/>
        </w:rPr>
        <w:t>** Якщо розмір дорівнює або перевищує порогове значення.</w:t>
      </w:r>
    </w:p>
    <w:p w:rsidR="004C666A" w:rsidRPr="004C666A" w:rsidRDefault="004C666A" w:rsidP="004C666A">
      <w:pPr>
        <w:spacing w:after="0" w:line="240" w:lineRule="auto"/>
        <w:jc w:val="center"/>
        <w:rPr>
          <w:rFonts w:ascii="Times New Roman" w:eastAsia="Times New Roman" w:hAnsi="Times New Roman" w:cs="Times New Roman"/>
          <w:sz w:val="24"/>
          <w:szCs w:val="24"/>
          <w:lang w:val="uk-UA" w:eastAsia="uk-UA"/>
        </w:rPr>
      </w:pPr>
    </w:p>
    <w:p w:rsidR="00926D0C" w:rsidRDefault="00926D0C"/>
    <w:sectPr w:rsidR="00926D0C" w:rsidSect="004C666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6A"/>
    <w:rsid w:val="004C666A"/>
    <w:rsid w:val="00626D9B"/>
    <w:rsid w:val="00845197"/>
    <w:rsid w:val="0092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3</cp:revision>
  <dcterms:created xsi:type="dcterms:W3CDTF">2023-06-27T11:57:00Z</dcterms:created>
  <dcterms:modified xsi:type="dcterms:W3CDTF">2023-06-27T11:59:00Z</dcterms:modified>
</cp:coreProperties>
</file>